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3C5DE">
      <w:pPr>
        <w:shd w:val="clear" w:color="auto" w:fill="3EC99E"/>
        <w:spacing w:before="0" w:after="0"/>
      </w:pPr>
      <w:r>
        <w:rPr>
          <w:sz w:val="12"/>
        </w:rPr>
        <w:t xml:space="preserve">  </w:t>
      </w:r>
    </w:p>
    <w:p w14:paraId="2FF70675">
      <w:pPr>
        <w:spacing w:after="0"/>
      </w:pPr>
    </w:p>
    <w:p w14:paraId="5AB0D844">
      <w:pPr>
        <w:spacing w:after="0"/>
      </w:pPr>
    </w:p>
    <w:p w14:paraId="07B0312D">
      <w:pPr>
        <w:spacing w:after="0"/>
      </w:pPr>
    </w:p>
    <w:p w14:paraId="37EA4FD8">
      <w:pPr>
        <w:spacing w:before="0" w:after="80"/>
        <w:jc w:val="center"/>
      </w:pPr>
      <w:r>
        <w:drawing>
          <wp:inline distT="0" distB="0" distL="114300" distR="114300">
            <wp:extent cx="1871980" cy="132016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3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164D">
      <w:pPr>
        <w:spacing w:before="80" w:after="0"/>
        <w:jc w:val="center"/>
      </w:pPr>
      <w:r>
        <w:rPr>
          <w:rFonts w:ascii="Inter" w:hAnsi="Inter" w:eastAsia="PingFang SC"/>
          <w:color w:val="8A9199"/>
          <w:sz w:val="17"/>
        </w:rPr>
        <w:t>致 Vesuvius 中国区  |  PROPOSAL FOR VESUVIUS CHINA</w:t>
      </w:r>
    </w:p>
    <w:p w14:paraId="2F843FE7">
      <w:pPr>
        <w:pBdr>
          <w:bottom w:val="single" w:color="3EC99E" w:sz="12" w:space="1"/>
        </w:pBdr>
        <w:spacing w:before="280" w:after="280"/>
      </w:pPr>
    </w:p>
    <w:p w14:paraId="3F7802CD">
      <w:pPr>
        <w:spacing w:before="80" w:after="120"/>
        <w:jc w:val="center"/>
      </w:pPr>
      <w:r>
        <w:rPr>
          <w:rFonts w:ascii="Inter" w:hAnsi="Inter" w:eastAsia="PingFang SC"/>
          <w:b/>
          <w:color w:val="0E1216"/>
          <w:sz w:val="48"/>
        </w:rPr>
        <w:t>企业培训平台功能增强建设建议书</w:t>
      </w:r>
    </w:p>
    <w:p w14:paraId="3330CCE6">
      <w:pPr>
        <w:spacing w:before="0" w:after="320"/>
        <w:jc w:val="center"/>
      </w:pPr>
      <w:r>
        <w:rPr>
          <w:rFonts w:ascii="Inter" w:hAnsi="Inter" w:eastAsia="PingFang SC"/>
          <w:color w:val="8A9199"/>
          <w:sz w:val="22"/>
        </w:rPr>
        <w:t>Enterprise Training Platform Enhancement Proposal</w:t>
      </w:r>
    </w:p>
    <w:p w14:paraId="156E4BF4">
      <w:pPr>
        <w:spacing w:before="0" w:after="80"/>
        <w:jc w:val="center"/>
      </w:pPr>
      <w:r>
        <w:rPr>
          <w:rFonts w:ascii="Inter" w:hAnsi="Inter" w:eastAsia="PingFang SC"/>
          <w:color w:val="3D444A"/>
          <w:sz w:val="20"/>
        </w:rPr>
        <w:t>本期建设：培训内容管理  ·  课程部署  ·  正负积分激励</w:t>
      </w:r>
      <w:r>
        <w:rPr>
          <w:rFonts w:ascii="Inter" w:hAnsi="Inter" w:eastAsia="PingFang SC"/>
          <w:color w:val="3D444A"/>
          <w:sz w:val="20"/>
        </w:rPr>
        <w:br w:type="textWrapping"/>
      </w:r>
      <w:r>
        <w:rPr>
          <w:rFonts w:ascii="Inter" w:hAnsi="Inter" w:eastAsia="PingFang SC"/>
          <w:color w:val="3D444A"/>
          <w:sz w:val="20"/>
        </w:rPr>
        <w:t>视频化培训  ·  培训矩阵可视化  ·  学习过程防挂机  ·  数据台账</w:t>
      </w:r>
    </w:p>
    <w:p w14:paraId="606DCCFA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1"/>
        <w:gridCol w:w="2986"/>
        <w:gridCol w:w="2471"/>
      </w:tblGrid>
      <w:tr w14:paraId="38F073B6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6C8F2">
            <w:pPr>
              <w:spacing w:before="0" w:after="0"/>
              <w:jc w:val="left"/>
            </w:pPr>
            <w:r>
              <w:drawing>
                <wp:inline distT="0" distB="0" distL="114300" distR="114300">
                  <wp:extent cx="1259840" cy="3194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19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CDB83">
            <w:pPr>
              <w:spacing w:before="0" w:after="40"/>
              <w:jc w:val="center"/>
            </w:pPr>
            <w:r>
              <w:rPr>
                <w:rFonts w:ascii="Inter" w:hAnsi="Inter" w:eastAsia="PingFang SC"/>
                <w:color w:val="3D444A"/>
                <w:sz w:val="16"/>
              </w:rPr>
              <w:t>未来方舟（上海）科技有限公司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FE022">
            <w:pPr>
              <w:spacing w:before="0" w:after="40"/>
              <w:jc w:val="right"/>
            </w:pPr>
            <w:r>
              <w:rPr>
                <w:rFonts w:ascii="Inter" w:hAnsi="Inter" w:eastAsia="PingFang SC"/>
                <w:i/>
                <w:color w:val="8A9199"/>
                <w:sz w:val="15"/>
              </w:rPr>
              <w:t>V1.0  ·  2026 年 6 月</w:t>
            </w:r>
            <w:r>
              <w:rPr>
                <w:rFonts w:ascii="Inter" w:hAnsi="Inter" w:eastAsia="PingFang SC"/>
                <w:i/>
                <w:color w:val="8A9199"/>
                <w:sz w:val="15"/>
              </w:rPr>
              <w:br w:type="textWrapping"/>
            </w:r>
            <w:r>
              <w:rPr>
                <w:rFonts w:ascii="Inter" w:hAnsi="Inter" w:eastAsia="PingFang SC"/>
                <w:i/>
                <w:color w:val="8A9199"/>
                <w:sz w:val="15"/>
              </w:rPr>
              <w:t>机密文件，仅供内部参阅</w:t>
            </w:r>
          </w:p>
        </w:tc>
      </w:tr>
    </w:tbl>
    <w:p w14:paraId="40C5AAD7">
      <w:pPr>
        <w:spacing w:before="0" w:after="0"/>
      </w:pPr>
      <w:r>
        <w:br w:type="page"/>
      </w:r>
      <w:bookmarkStart w:id="0" w:name="_GoBack"/>
      <w:bookmarkEnd w:id="0"/>
    </w:p>
    <w:p w14:paraId="4C6C55F2">
      <w:pPr>
        <w:spacing w:before="120" w:after="40"/>
        <w:jc w:val="center"/>
      </w:pPr>
      <w:r>
        <w:rPr>
          <w:rFonts w:ascii="Inter" w:hAnsi="Inter" w:eastAsia="PingFang SC"/>
          <w:b/>
          <w:color w:val="0E1216"/>
          <w:sz w:val="40"/>
        </w:rPr>
        <w:t>企业培训平台功能增强建设建议书</w:t>
      </w:r>
    </w:p>
    <w:p w14:paraId="0A427BF1">
      <w:pPr>
        <w:spacing w:before="0" w:after="240"/>
        <w:jc w:val="center"/>
      </w:pPr>
      <w:r>
        <w:rPr>
          <w:rFonts w:ascii="Inter" w:hAnsi="Inter" w:eastAsia="PingFang SC"/>
          <w:color w:val="8A9199"/>
          <w:sz w:val="18"/>
        </w:rPr>
        <w:t>ENTERPRISE TRAINING PLATFORM ENHANCEMENT PROPOSAL  ·  FOR VESUVIUS CHINA</w:t>
      </w:r>
    </w:p>
    <w:p w14:paraId="00561DA3">
      <w:pPr>
        <w:pBdr>
          <w:bottom w:val="single" w:color="3EC99E" w:sz="6" w:space="1"/>
        </w:pBdr>
        <w:spacing w:before="0" w:after="320"/>
      </w:pPr>
    </w:p>
    <w:p w14:paraId="5CE17394"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前言</w:t>
      </w:r>
    </w:p>
    <w:p w14:paraId="732ED841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Vesuvius 作为全球领先的耐火材料与铸造流动控制技术企业，其中国区业务横跨多个工厂与职能体系，对员工岗位技能、安全合规及操作规程的培训管理提出了较高要求。我们理解，贵司现有培训平台已具备一定的基础能力，而本次建设的核心目标在于：让培训从"内容已发布"真正走向"任务被完成、过程有记录、结果可追溯"。</w:t>
      </w:r>
    </w:p>
    <w:p w14:paraId="0A4A51AD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本建议书是我们在深入理解贵司业务场景后，围绕七个功能版块制定的增强方案。我们希望通过清晰的功能边界、务实的实施路径和可量化的交付标准，与 Vesuvius 中国区建立一段长期可信赖的合作关系。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236"/>
      </w:tblGrid>
      <w:tr w14:paraId="35865B90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AF5"/>
            <w:vAlign w:val="center"/>
          </w:tcPr>
          <w:p w14:paraId="05E8EDC0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0E1216"/>
                <w:sz w:val="20"/>
              </w:rPr>
              <w:t>客户单位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78E6AF7F">
            <w:pPr>
              <w:spacing w:before="100" w:after="10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Vesuvius 中国区</w:t>
            </w:r>
          </w:p>
        </w:tc>
      </w:tr>
      <w:tr w14:paraId="7E648FCC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  <w:vAlign w:val="center"/>
          </w:tcPr>
          <w:p w14:paraId="6E767431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0E1216"/>
                <w:sz w:val="20"/>
              </w:rPr>
              <w:t>项目名称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DFBEFE9">
            <w:pPr>
              <w:spacing w:before="100" w:after="10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企业培训平台功能增强建设项目</w:t>
            </w:r>
          </w:p>
        </w:tc>
      </w:tr>
      <w:tr w14:paraId="4B88045A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AF5"/>
            <w:vAlign w:val="center"/>
          </w:tcPr>
          <w:p w14:paraId="7E98B288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0E1216"/>
                <w:sz w:val="20"/>
              </w:rPr>
              <w:t>建议版本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07A1E2D7">
            <w:pPr>
              <w:spacing w:before="100" w:after="10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V1.0</w:t>
            </w:r>
          </w:p>
        </w:tc>
      </w:tr>
      <w:tr w14:paraId="0B73F009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  <w:vAlign w:val="center"/>
          </w:tcPr>
          <w:p w14:paraId="522004A9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0E1216"/>
                <w:sz w:val="20"/>
              </w:rPr>
              <w:t>建设周期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2381318F">
            <w:pPr>
              <w:spacing w:before="100" w:after="10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约 8 周（视最终范围确认）</w:t>
            </w:r>
          </w:p>
        </w:tc>
      </w:tr>
      <w:tr w14:paraId="42A233D3">
        <w:trPr>
          <w:jc w:val="center"/>
        </w:trPr>
        <w:tc>
          <w:tcPr>
            <w:tcW w:w="198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EAFAF5"/>
            <w:vAlign w:val="center"/>
          </w:tcPr>
          <w:p w14:paraId="1559AE81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0E1216"/>
                <w:sz w:val="20"/>
              </w:rPr>
              <w:t>文件状态</w:t>
            </w:r>
          </w:p>
        </w:tc>
        <w:tc>
          <w:tcPr>
            <w:tcW w:w="6236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vAlign w:val="center"/>
          </w:tcPr>
          <w:p w14:paraId="512CC15B">
            <w:pPr>
              <w:spacing w:before="100" w:after="10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机密 · 仅供内部参阅</w:t>
            </w:r>
          </w:p>
        </w:tc>
      </w:tr>
    </w:tbl>
    <w:p w14:paraId="4556C711"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一、项目理解与建设目标</w:t>
      </w:r>
    </w:p>
    <w:p w14:paraId="301B074F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本项目是在贵司现有培训平台基础上的功能增强，而非推倒重建。我们的目标是补齐管理闭环中关键的"最后一公里"——让已沉淀的培训内容真正转化为可执行的学习任务，让分散在各处的学习记录汇聚成管理者可以依赖的数字台账。</w:t>
      </w:r>
    </w:p>
    <w:p w14:paraId="375C017C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具体而言，本期建设将围绕以下六个方向产生可量化的改变：</w:t>
      </w:r>
    </w:p>
    <w:p w14:paraId="5B7E7CEF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提升培训任务执行率。通过课程部署、完成度追踪与积分约束，让每一项培训任务都有明确责任人和截止时间，结果有迹可查。</w:t>
      </w:r>
    </w:p>
    <w:p w14:paraId="1D9D12B1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提升员工学习参与度。引入正负积分机制，以数据化方式建立轻量级激励和行为约束，代替纯粹的行政通知。</w:t>
      </w:r>
    </w:p>
    <w:p w14:paraId="2E20673C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支持视频化培训交付。企业可上传操作规程、安全演示等视频内容，系统记录每位员工的观看进度与完成状态，全程留痕。</w:t>
      </w:r>
    </w:p>
    <w:p w14:paraId="42EA190A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实现管理可视化。培训矩阵将员工、岗位、职能与课程完成情况整合为一张实时视图，管理者无需再依赖手工 Excel 统计。</w:t>
      </w:r>
    </w:p>
    <w:p w14:paraId="774FE8D6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降低无效学习风险。通过轻量化防挂机机制，减少"打开课程后离开""视频拖到结尾"等形式化学习行为，提升培训数据的真实性。</w:t>
      </w:r>
    </w:p>
    <w:p w14:paraId="32DEF379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预留合规扩展空间。本期建立的培训记录、考试台账和积分流水，可在后续阶段直接扩展为迎检台账、资质档案和 ESG 培训数据出口。</w:t>
      </w:r>
    </w:p>
    <w:p w14:paraId="2CA56646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PingFang SC"/>
          <w:b/>
          <w:color w:val="3EC99E"/>
          <w:sz w:val="19"/>
        </w:rPr>
        <w:t xml:space="preserve">建设主线    </w:t>
      </w:r>
      <w:r>
        <w:rPr>
          <w:rFonts w:ascii="Inter" w:hAnsi="Inter" w:eastAsia="PingFang SC"/>
          <w:color w:val="8A9199"/>
          <w:sz w:val="19"/>
        </w:rPr>
        <w:t>本期建设的本质是构建一条完整的培训管理链路：内容可管理 → 任务可部署 → 过程可监督 → 结果可统计 → 数据可导出。</w:t>
      </w:r>
    </w:p>
    <w:p w14:paraId="475790B9"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二、本期建设范围</w:t>
      </w:r>
    </w:p>
    <w:p w14:paraId="53D40166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本期建设围绕七个功能版块展开。其中培训内容管理与课程部署是业务运转的基础；积分体系、视频培训、培训矩阵和防挂机机制是本期核心增强点；数据统计与台账输出则是管理价值落地的最终出口。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3569"/>
        <w:gridCol w:w="3417"/>
      </w:tblGrid>
      <w:tr w14:paraId="49DA0BCE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72448FD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模块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388D5290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本期建设内容</w:t>
            </w:r>
          </w:p>
        </w:tc>
        <w:tc>
          <w:tcPr>
            <w:tcW w:w="351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0A504420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对 Vesuvius 的业务价值</w:t>
            </w:r>
          </w:p>
        </w:tc>
      </w:tr>
      <w:tr w14:paraId="6C31368D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D1B382F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培训内容管理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FD32531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课程内容编辑、完成规则配置、内容审核流、版本记录</w:t>
            </w:r>
          </w:p>
        </w:tc>
        <w:tc>
          <w:tcPr>
            <w:tcW w:w="351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EE1BCB7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保证课程内容可控发布，降低版本混乱和未授权修改风险</w:t>
            </w:r>
          </w:p>
        </w:tc>
      </w:tr>
      <w:tr w14:paraId="16EA2DB3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C72471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课程部署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F4EE1F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按人员/部门/岗位/职能分配课程，设置截止时间与提醒规则</w:t>
            </w:r>
          </w:p>
        </w:tc>
        <w:tc>
          <w:tcPr>
            <w:tcW w:w="351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FB6F67A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将课程从静态资源转化为有责任人、有时间节点的执行任务</w:t>
            </w:r>
          </w:p>
        </w:tc>
      </w:tr>
      <w:tr w14:paraId="66E7D184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3D5B08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正负积分体系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CB3001F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完成加分、逾期扣分、积分流水查询、管理端统计</w:t>
            </w:r>
          </w:p>
        </w:tc>
        <w:tc>
          <w:tcPr>
            <w:tcW w:w="351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6D0D396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以数据化激励代替重复行政催促，形成正向学习文化</w:t>
            </w:r>
          </w:p>
        </w:tc>
      </w:tr>
      <w:tr w14:paraId="0E5CD0F2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B1E591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视频上传与播放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F74D88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视频上传、在线播放、断点续播、观看进度记录与完成规则</w:t>
            </w:r>
          </w:p>
        </w:tc>
        <w:tc>
          <w:tcPr>
            <w:tcW w:w="351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AA7D07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支持操作规程、安全培训等视频化内容，过程留痕满足合规需要</w:t>
            </w:r>
          </w:p>
        </w:tc>
      </w:tr>
      <w:tr w14:paraId="4D6BCAE6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99973B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培训矩阵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F98936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按员工/部门/岗位/职能展示课程完成率，支持筛选与 Excel 导出</w:t>
            </w:r>
          </w:p>
        </w:tc>
        <w:tc>
          <w:tcPr>
            <w:tcW w:w="351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FA2EFAD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一张矩阵替代多份 Excel，管理者实时掌握培训覆盖缺口</w:t>
            </w:r>
          </w:p>
        </w:tc>
      </w:tr>
      <w:tr w14:paraId="29AA9498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6F3456E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学习过程防挂机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78B3FC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无操作提醒、页面切出记录、视频进度限制、过程复核记录</w:t>
            </w:r>
          </w:p>
        </w:tc>
        <w:tc>
          <w:tcPr>
            <w:tcW w:w="351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1490AA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提升学习真实性，确保培训记录的可信度与可审计性</w:t>
            </w:r>
          </w:p>
        </w:tc>
      </w:tr>
      <w:tr w14:paraId="4BCFEC64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EDEA219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数据统计与台账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357A19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完成报表、考试记录、积分明细、视频学习记录、Excel 导出</w:t>
            </w:r>
          </w:p>
        </w:tc>
        <w:tc>
          <w:tcPr>
            <w:tcW w:w="351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DBD14B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为内部管理提供数据支撑，为后续迎检台账扩展打好基础</w:t>
            </w:r>
          </w:p>
        </w:tc>
      </w:tr>
    </w:tbl>
    <w:p w14:paraId="58FDCFFF">
      <w:pPr>
        <w:spacing w:before="0" w:after="160" w:line="360" w:lineRule="auto"/>
        <w:ind w:firstLine="440"/>
      </w:pPr>
    </w:p>
    <w:p w14:paraId="7A11513E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PingFang SC"/>
          <w:b/>
          <w:color w:val="3EC99E"/>
          <w:sz w:val="19"/>
        </w:rPr>
        <w:t>一期边界说明：</w:t>
      </w:r>
      <w:r>
        <w:rPr>
          <w:rFonts w:ascii="Inter" w:hAnsi="Inter" w:eastAsia="PingFang SC"/>
          <w:color w:val="8A9199"/>
          <w:sz w:val="19"/>
        </w:rPr>
        <w:t>人脸识别、活体检测、多清晰度转码、积分商城等能力暂不纳入本期默认范围，可在后续阶段按需评估。一期聚焦核心闭环，避免过度建设带来的维护成本。</w:t>
      </w:r>
    </w:p>
    <w:p w14:paraId="6EF51025"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三、功能方案详解</w:t>
      </w:r>
    </w:p>
    <w:p w14:paraId="65C9B6E0">
      <w:pPr>
        <w:spacing w:before="200" w:after="80"/>
      </w:pPr>
      <w:r>
        <w:rPr>
          <w:rFonts w:ascii="Inter" w:hAnsi="Inter" w:eastAsia="PingFang SC"/>
          <w:b/>
          <w:color w:val="0E1216"/>
          <w:sz w:val="44"/>
        </w:rPr>
        <w:t>3.1  培训内容管理</w:t>
      </w:r>
    </w:p>
    <w:p w14:paraId="3E042F39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培训内容管理是平台的内容基础设施。方案的重点不在于堆砌编辑器功能，而在于建立可控的内容发布流程——确保每一门课程都经过审核、有版本记录、且完成规则清晰。</w:t>
      </w:r>
    </w:p>
    <w:p w14:paraId="5E2B99D2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完成规则建议采用"组合配置"模式：制度宣导类课程可设为"阅读确认即完成"；安全培训类课程可叠加"视频观看比例 + 考试通过"；资质认证类课程可进一步要求"证书提交或复训记录"。这种弹性设计让平台真正适配 Vesuvius 多样化的培训场景，而不是强迫所有课程走同一套标准。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6434"/>
      </w:tblGrid>
      <w:tr w14:paraId="4B415755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CAEC20C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功能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5523FA1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一期建设说明</w:t>
            </w:r>
          </w:p>
        </w:tc>
      </w:tr>
      <w:tr w14:paraId="72C981EF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C6221DE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课程内容编辑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34E876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支持标题、简介、章节、页面内容、图片、附件与视频的编辑和维护</w:t>
            </w:r>
          </w:p>
        </w:tc>
      </w:tr>
      <w:tr w14:paraId="5A726244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6379808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课程完成设置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17F3776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可组合配置：必修章节 / 视频观看比例 / 考试通过 / 最低学习时长等</w:t>
            </w:r>
          </w:p>
        </w:tc>
      </w:tr>
      <w:tr w14:paraId="0633ABDF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A4099D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考试与测验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80F06B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支持章节小测与课程考试；预留 AI 辅助出题接口，后续可一键生成题库</w:t>
            </w:r>
          </w:p>
        </w:tc>
      </w:tr>
      <w:tr w14:paraId="635AF979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EF2935A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内容审核流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1DEE35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课程发布前经培训负责人审核，支持通过、退回与发布记录</w:t>
            </w:r>
          </w:p>
        </w:tc>
      </w:tr>
      <w:tr w14:paraId="6F8D3F73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0A872B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版本管理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4938D69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每次发布形成版本记录（版本号、发布时间、发布人），历史版本可追溯</w:t>
            </w:r>
          </w:p>
        </w:tc>
      </w:tr>
      <w:tr w14:paraId="0E230C49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F064ED8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附件管理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6349F3D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每门课程可关联文档、图片等参考资料，建议默认支持 10 份附件/课程</w:t>
            </w:r>
          </w:p>
        </w:tc>
      </w:tr>
    </w:tbl>
    <w:p w14:paraId="5DAAC007">
      <w:pPr>
        <w:spacing w:before="200" w:after="80"/>
      </w:pPr>
      <w:r>
        <w:rPr>
          <w:rFonts w:ascii="Inter" w:hAnsi="Inter" w:eastAsia="PingFang SC"/>
          <w:b/>
          <w:color w:val="0E1216"/>
          <w:sz w:val="44"/>
        </w:rPr>
        <w:t>3.2  课程部署</w:t>
      </w:r>
    </w:p>
    <w:p w14:paraId="3C50C1CA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课程部署是连接"内容资源"与"学习任务"的关键环节。在没有部署模块的情况下，课程发布后管理员只能靠人工通知、微信群催促；有了部署模块，每次培训都能明确"谁必须学、什么时候学完、没学完怎么提醒"，执行责任从人工跟进转移到系统自动化管理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6432"/>
      </w:tblGrid>
      <w:tr w14:paraId="7BC19A9E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805499C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功能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306D1274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一期建设说明</w:t>
            </w:r>
          </w:p>
        </w:tc>
      </w:tr>
      <w:tr w14:paraId="7F3F4AAA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8DBF54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部署对象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5DC424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支持按员工、部门、岗位、职能选择培训对象，可根据客户组织架构扩展</w:t>
            </w:r>
          </w:p>
        </w:tc>
      </w:tr>
      <w:tr w14:paraId="7F1F32CC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5400D5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时间与截止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0AE3A2D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设置开始时间、截止时间，支持立即生效或定时开始</w:t>
            </w:r>
          </w:p>
        </w:tc>
      </w:tr>
      <w:tr w14:paraId="03C72180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AFF7FA8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完成规则绑定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E4D880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引用课程级完成规则，并可在任务级补充截止约束</w:t>
            </w:r>
          </w:p>
        </w:tc>
      </w:tr>
      <w:tr w14:paraId="41032585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1EB7F3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学习提醒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3DAA15E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针对未开始、临近截止、逾期未完成状态发送站内提醒；企业微信/短信可扩展</w:t>
            </w:r>
          </w:p>
        </w:tc>
      </w:tr>
      <w:tr w14:paraId="7334E25F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B22DFF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完成跟踪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ECE8339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管理员可实时查看完成率、未完成人员清单、逾期情况与考试通过状态</w:t>
            </w:r>
          </w:p>
        </w:tc>
      </w:tr>
      <w:tr w14:paraId="3D7317A1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329D43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部署记录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BAC830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每次部署保留对象快照、课程版本、时间配置与完成情况，支持导出</w:t>
            </w:r>
          </w:p>
        </w:tc>
      </w:tr>
    </w:tbl>
    <w:p w14:paraId="5CA004DF">
      <w:pPr>
        <w:spacing w:before="200" w:after="80"/>
      </w:pPr>
      <w:r>
        <w:rPr>
          <w:rFonts w:ascii="Inter" w:hAnsi="Inter" w:eastAsia="PingFang SC"/>
          <w:b/>
          <w:color w:val="0E1216"/>
          <w:sz w:val="44"/>
        </w:rPr>
        <w:t>3.3  正负积分体系</w:t>
      </w:r>
    </w:p>
    <w:p w14:paraId="722D9AAD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积分体系的设计理念是"轻量激励，不做复杂系统"。一期目标不是建设积分商城或绩效联动，而是先把学习行为的数字化记录做扎实——完成了什么、什么时候完成、因为什么被加减分，每一条都有流水可查，让管理者和员工都看得见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3957"/>
        <w:gridCol w:w="3028"/>
      </w:tblGrid>
      <w:tr w14:paraId="11EF1789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60157DA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积分类型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5D5670C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规则示例</w:t>
            </w:r>
          </w:p>
        </w:tc>
        <w:tc>
          <w:tcPr>
            <w:tcW w:w="311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5446C22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处理方式</w:t>
            </w:r>
          </w:p>
        </w:tc>
      </w:tr>
      <w:tr w14:paraId="1DBF2A25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6F22DE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正向积分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81CC8C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首次登录 +5；完成课程 +10；考试通过 +10；按时完成 +5</w:t>
            </w:r>
          </w:p>
        </w:tc>
        <w:tc>
          <w:tcPr>
            <w:tcW w:w="311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B01545F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系统按学习行为自动写入积分流水</w:t>
            </w:r>
          </w:p>
        </w:tc>
      </w:tr>
      <w:tr w14:paraId="26E6369B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77B172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负向积分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EF53416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课程逾期 -5；考试未通过 -3；超截止时间 -5</w:t>
            </w:r>
          </w:p>
        </w:tc>
        <w:tc>
          <w:tcPr>
            <w:tcW w:w="311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AA4869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按部署截止时间和考试结果自动触发</w:t>
            </w:r>
          </w:p>
        </w:tc>
      </w:tr>
      <w:tr w14:paraId="1BF770AD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4F2E296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人工调整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CFE8DC7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活动奖励、补发、纠错扣减</w:t>
            </w:r>
          </w:p>
        </w:tc>
        <w:tc>
          <w:tcPr>
            <w:tcW w:w="311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C40BC9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保留操作人、原因与时间，全程可审计</w:t>
            </w:r>
          </w:p>
        </w:tc>
      </w:tr>
      <w:tr w14:paraId="4A2AA78C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76402E9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员工视图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526EEE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个人积分总量、积分明细、近期变化趋势</w:t>
            </w:r>
          </w:p>
        </w:tc>
        <w:tc>
          <w:tcPr>
            <w:tcW w:w="311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ACEC74F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学员端可见，增强透明度与参与感</w:t>
            </w:r>
          </w:p>
        </w:tc>
      </w:tr>
      <w:tr w14:paraId="6A9BC7B5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8B6C83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管理视图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30F952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部门积分、员工排行、积分来源分布</w:t>
            </w:r>
          </w:p>
        </w:tc>
        <w:tc>
          <w:tcPr>
            <w:tcW w:w="311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06EB8B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支持查询、筛选与 Excel 导出</w:t>
            </w:r>
          </w:p>
        </w:tc>
      </w:tr>
    </w:tbl>
    <w:p w14:paraId="7AFED7D7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PingFang SC"/>
          <w:b/>
          <w:color w:val="3EC99E"/>
          <w:sz w:val="19"/>
        </w:rPr>
        <w:t xml:space="preserve">扩展路径    </w:t>
      </w:r>
      <w:r>
        <w:rPr>
          <w:rFonts w:ascii="Inter" w:hAnsi="Inter" w:eastAsia="PingFang SC"/>
          <w:color w:val="8A9199"/>
          <w:sz w:val="19"/>
        </w:rPr>
        <w:t>后续如需建设积分商城、班组 PK 或"年度学习之星"评选，本期积分流水数据可直接作为基础。一期的克制是为了后期的可扩展。</w:t>
      </w:r>
    </w:p>
    <w:p w14:paraId="3F060A09">
      <w:pPr>
        <w:spacing w:before="200" w:after="80"/>
      </w:pPr>
      <w:r>
        <w:rPr>
          <w:rFonts w:ascii="Inter" w:hAnsi="Inter" w:eastAsia="PingFang SC"/>
          <w:b/>
          <w:color w:val="0E1216"/>
          <w:sz w:val="44"/>
        </w:rPr>
        <w:t>3.4  视频上传与播放</w:t>
      </w:r>
    </w:p>
    <w:p w14:paraId="6569FF94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视频培训在 Vesuvius 的操作规程培训、安全演示和设备维护场景中具有重要价值。本期建设优先确保视频培训的核心体验稳定可用：上传流畅、播放可靠、进度记录准确。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6433"/>
      </w:tblGrid>
      <w:tr w14:paraId="777EC06A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B24EEA8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功能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11F5B19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一期建设说明</w:t>
            </w:r>
          </w:p>
        </w:tc>
      </w:tr>
      <w:tr w14:paraId="2B905C50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4416E38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视频上传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2B4345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管理端在课程章节中上传视频，优先支持 MP4 / H.264 格式</w:t>
            </w:r>
          </w:p>
        </w:tc>
      </w:tr>
      <w:tr w14:paraId="1F03C157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6AB65F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对象存储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4371CA1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视频文件接入对象存储，与业务服务器分离，便于后续扩容</w:t>
            </w:r>
          </w:p>
        </w:tc>
      </w:tr>
      <w:tr w14:paraId="621A5A0C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DDAF09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在线播放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F4FDEE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支持 PC 与移动端浏览器播放，无需安装插件</w:t>
            </w:r>
          </w:p>
        </w:tc>
      </w:tr>
      <w:tr w14:paraId="6E2F8991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B25A969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断点续播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7F17017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记录上次观看位置，学员下次打开自动从断点继续</w:t>
            </w:r>
          </w:p>
        </w:tc>
      </w:tr>
      <w:tr w14:paraId="659F3E0E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F4F571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观看进度记录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3C5AD48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实时记录观看比例与时长，用于课程完成判断</w:t>
            </w:r>
          </w:p>
        </w:tc>
      </w:tr>
      <w:tr w14:paraId="62FA26C5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AB1764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播放控制</w:t>
            </w:r>
          </w:p>
        </w:tc>
        <w:tc>
          <w:tcPr>
            <w:tcW w:w="6633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32E4BDD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可配置是否允许拖拽、是否强制观看到指定比例（如 80%）</w:t>
            </w:r>
          </w:p>
        </w:tc>
      </w:tr>
    </w:tbl>
    <w:p w14:paraId="4FD33C6E">
      <w:pPr>
        <w:spacing w:before="0" w:after="160" w:line="360" w:lineRule="auto"/>
        <w:ind w:firstLine="440"/>
      </w:pPr>
    </w:p>
    <w:p w14:paraId="69A1413A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PingFang SC"/>
          <w:b/>
          <w:color w:val="3EC99E"/>
          <w:sz w:val="19"/>
        </w:rPr>
        <w:t>特殊场景说明：</w:t>
      </w:r>
      <w:r>
        <w:rPr>
          <w:rFonts w:ascii="Inter" w:hAnsi="Inter" w:eastAsia="PingFang SC"/>
          <w:color w:val="8A9199"/>
          <w:sz w:val="19"/>
        </w:rPr>
        <w:t>若对高并发播放、多清晰度切换或 CDN 分发有较高要求，建议评估视频云服务方案（如阿里云点播）。该部分会影响建设成本与后续运维投入，需结合贵司实际使用规模决策。</w:t>
      </w:r>
    </w:p>
    <w:p w14:paraId="07C850EA">
      <w:pPr>
        <w:spacing w:before="200" w:after="80"/>
      </w:pPr>
      <w:r>
        <w:rPr>
          <w:rFonts w:ascii="Inter" w:hAnsi="Inter" w:eastAsia="PingFang SC"/>
          <w:b/>
          <w:color w:val="0E1216"/>
          <w:sz w:val="44"/>
        </w:rPr>
        <w:t>3.5  培训矩阵</w:t>
      </w:r>
    </w:p>
    <w:p w14:paraId="55EFC590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培训矩阵要解决的不是数据收集问题——那些数据已经在系统里了。它要解决的是"管理者每次想了解培训覆盖情况，都要从头拉数据、手动处理 Excel"的问题。培训矩阵是那张一直存在、随时可看、无需人工整理的实时视图。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4124"/>
        <w:gridCol w:w="2859"/>
      </w:tblGrid>
      <w:tr w14:paraId="1F40CE10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7092E001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矩阵维度</w:t>
            </w:r>
          </w:p>
        </w:tc>
        <w:tc>
          <w:tcPr>
            <w:tcW w:w="42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0D2BB9CF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展示内容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D12051B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典型用途</w:t>
            </w:r>
          </w:p>
        </w:tc>
      </w:tr>
      <w:tr w14:paraId="49888924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198974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员工维度</w:t>
            </w:r>
          </w:p>
        </w:tc>
        <w:tc>
          <w:tcPr>
            <w:tcW w:w="42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F899267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姓名、部门、岗位、职能、已完成课程数、完成率、未完成课程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EB2F781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查看个人培训进度与缺口</w:t>
            </w:r>
          </w:p>
        </w:tc>
      </w:tr>
      <w:tr w14:paraId="5605A378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48F2E6E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部门维度</w:t>
            </w:r>
          </w:p>
        </w:tc>
        <w:tc>
          <w:tcPr>
            <w:tcW w:w="42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01A1D31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部门人数、应训人数、完成率、逾期人数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A23A3F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部门负责人掌握整体执行情况</w:t>
            </w:r>
          </w:p>
        </w:tc>
      </w:tr>
      <w:tr w14:paraId="1D946EDD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580822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岗位维度</w:t>
            </w:r>
          </w:p>
        </w:tc>
        <w:tc>
          <w:tcPr>
            <w:tcW w:w="42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D58B29D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岗位应训课程、完成人数、未完成人数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DD18DC6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评估岗位培训覆盖是否达标</w:t>
            </w:r>
          </w:p>
        </w:tc>
      </w:tr>
      <w:tr w14:paraId="52842C4C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9BD41C1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课程维度</w:t>
            </w:r>
          </w:p>
        </w:tc>
        <w:tc>
          <w:tcPr>
            <w:tcW w:w="42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B45E12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部署批次、完成率、考试通过率、逾期人数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774D71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评估特定课程的执行效果</w:t>
            </w:r>
          </w:p>
        </w:tc>
      </w:tr>
      <w:tr w14:paraId="4F1B799D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4F6ABE8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状态维度</w:t>
            </w:r>
          </w:p>
        </w:tc>
        <w:tc>
          <w:tcPr>
            <w:tcW w:w="425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B993D1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未开始 / 学习中 / 已完成 / 逾期未完成 / 考试未通过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9B9071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快速筛选定位待处理人员</w:t>
            </w:r>
          </w:p>
        </w:tc>
      </w:tr>
    </w:tbl>
    <w:p w14:paraId="28F3A4C3">
      <w:pPr>
        <w:spacing w:before="200" w:after="80"/>
      </w:pPr>
      <w:r>
        <w:rPr>
          <w:rFonts w:ascii="Inter" w:hAnsi="Inter" w:eastAsia="PingFang SC"/>
          <w:b/>
          <w:color w:val="0E1216"/>
          <w:sz w:val="44"/>
        </w:rPr>
        <w:t>3.6  学习过程防挂机机制</w:t>
      </w:r>
    </w:p>
    <w:p w14:paraId="5B9E1E2A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防挂机机制的出发点不是监控员工，而是保障培训记录的可信度。一旦培训记录被用于合规审查或认证申请，"人在系统外、数据显示已完成"的情况会让整套数据失去可信度。本期采用轻量化方案，在不涉及摄像头权限和员工隐私的前提下，实现基础层面的学习真实性验证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859"/>
        <w:gridCol w:w="3577"/>
      </w:tblGrid>
      <w:tr w14:paraId="01BAD272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16EE339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机制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B99A601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触发条件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7AB7A96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系统处理</w:t>
            </w:r>
          </w:p>
        </w:tc>
      </w:tr>
      <w:tr w14:paraId="03A54277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17EDFC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长时间无操作提醒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C47969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学习页面持续无鼠标 / 键盘 / 触控操作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200471D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弹出确认提示；未确认则暂停有效学习计时</w:t>
            </w:r>
          </w:p>
        </w:tc>
      </w:tr>
      <w:tr w14:paraId="2B8C21A7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3F2A5B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页面切出提示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AD10E86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学习中切换标签页或最小化浏览器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DC6B5CE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记录次数；超限时提示返回或暂停进度</w:t>
            </w:r>
          </w:p>
        </w:tc>
      </w:tr>
      <w:tr w14:paraId="13C47778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EE6D171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视频拖拽限制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D6D89B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学员跳过未观看的视频片段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FF4CD4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不计入已观看进度；完成判断基于真实观看比例</w:t>
            </w:r>
          </w:p>
        </w:tc>
      </w:tr>
      <w:tr w14:paraId="25282924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AC8BEE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弹窗随机确认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463BD3F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学习过程中定时或随机触发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C622F66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未确认则暂停课程进度累计</w:t>
            </w:r>
          </w:p>
        </w:tc>
      </w:tr>
      <w:tr w14:paraId="52BF2B23">
        <w:trPr>
          <w:jc w:val="center"/>
        </w:trPr>
        <w:tc>
          <w:tcPr>
            <w:tcW w:w="215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06ADCE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过程记录</w:t>
            </w:r>
          </w:p>
        </w:tc>
        <w:tc>
          <w:tcPr>
            <w:tcW w:w="2948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FB7FF8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学习全程</w:t>
            </w:r>
          </w:p>
        </w:tc>
        <w:tc>
          <w:tcPr>
            <w:tcW w:w="3685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DC40F41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管理端可查看学习时长、切出次数、确认情况</w:t>
            </w:r>
          </w:p>
        </w:tc>
      </w:tr>
    </w:tbl>
    <w:p w14:paraId="449F0270">
      <w:pPr>
        <w:spacing w:before="0" w:after="160" w:line="360" w:lineRule="auto"/>
        <w:ind w:firstLine="440"/>
      </w:pPr>
    </w:p>
    <w:p w14:paraId="1488ECB1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PingFang SC"/>
          <w:b/>
          <w:color w:val="3EC99E"/>
          <w:sz w:val="19"/>
        </w:rPr>
        <w:t>隐私合规说明：</w:t>
      </w:r>
      <w:r>
        <w:rPr>
          <w:rFonts w:ascii="Inter" w:hAnsi="Inter" w:eastAsia="PingFang SC"/>
          <w:color w:val="8A9199"/>
          <w:sz w:val="19"/>
        </w:rPr>
        <w:t>人脸识别、活体检测等强监管能力涉及员工隐私与摄像头权限，适合在贵司明确提出强合规要求后作为专项能力评估，本期暂不纳入默认范围。</w:t>
      </w:r>
    </w:p>
    <w:p w14:paraId="44AD295F">
      <w:pPr>
        <w:spacing w:before="200" w:after="80"/>
      </w:pPr>
      <w:r>
        <w:rPr>
          <w:rFonts w:ascii="Inter" w:hAnsi="Inter" w:eastAsia="PingFang SC"/>
          <w:b/>
          <w:color w:val="0E1216"/>
          <w:sz w:val="44"/>
        </w:rPr>
        <w:t>3.7  数据统计与台账输出</w:t>
      </w:r>
    </w:p>
    <w:p w14:paraId="31B06FA8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数据输出是培训平台价值的最终证明。无论是每月内部汇报、年度安全培训统计，还是迎接政府安全检查或 ISO 审核，系统能否快速提供一份清晰完整的台账，决定了管理团队在关键时刻的响应效率。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3957"/>
        <w:gridCol w:w="2808"/>
      </w:tblGrid>
      <w:tr w14:paraId="197B060D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9906553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报表类型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84D0E9A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主要字段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13D5FBB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应用场景</w:t>
            </w:r>
          </w:p>
        </w:tc>
      </w:tr>
      <w:tr w14:paraId="090E1BC4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5DD685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培训完成报表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60D8C5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员工、部门、岗位、课程、完成状态、完成时间、完成率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64D9F57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日常培训执行管理</w:t>
            </w:r>
          </w:p>
        </w:tc>
      </w:tr>
      <w:tr w14:paraId="6EB49B2E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9B7986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考试结果报表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F24460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考试名称、分数、是否通过、考试次数、提交时间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C8AC9DE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学习效果核查与补训决策</w:t>
            </w:r>
          </w:p>
        </w:tc>
      </w:tr>
      <w:tr w14:paraId="44FC8001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485875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积分明细报表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0A2E20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员工、积分变化、来源、课程、操作人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1D08467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积分追溯与管理复核</w:t>
            </w:r>
          </w:p>
        </w:tc>
      </w:tr>
      <w:tr w14:paraId="6D7EA95F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EBCA0C7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视频学习记录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EA2E07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视频名称、观看比例、观看时长、是否达标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8DA22F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视频课程完成判断依据</w:t>
            </w:r>
          </w:p>
        </w:tc>
      </w:tr>
      <w:tr w14:paraId="7357274C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583CB7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部署任务报表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7A95C0E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课程版本、部署对象、开始 / 截止时间、完成情况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A007BC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培训任务执行复盘</w:t>
            </w:r>
          </w:p>
        </w:tc>
      </w:tr>
      <w:tr w14:paraId="611E51AB">
        <w:trPr>
          <w:jc w:val="center"/>
        </w:trPr>
        <w:tc>
          <w:tcPr>
            <w:tcW w:w="181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3EC4518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台账基础导出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D8D5D6F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按人员 / 课程 / 部门 / 时间段多维度导出</w:t>
            </w:r>
          </w:p>
        </w:tc>
        <w:tc>
          <w:tcPr>
            <w:tcW w:w="289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63C011E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迎检台账基础数据 / ESG 培训数据</w:t>
            </w:r>
          </w:p>
        </w:tc>
      </w:tr>
    </w:tbl>
    <w:p w14:paraId="1BA816E4"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四、技术实现方案</w:t>
      </w:r>
    </w:p>
    <w:p w14:paraId="01CA2839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本项目采用前后端分离架构，围绕课程、部署、学习记录、积分、视频资源和报表统计建立清晰的数据模型。技术选型优先保证可维护性、可扩展性与可审计性，避免为追求技术新颖而增加不必要的复杂度。</w:t>
      </w:r>
    </w:p>
    <w:p w14:paraId="1AC9ED21">
      <w:pPr>
        <w:spacing w:before="160" w:after="80"/>
      </w:pPr>
      <w:r>
        <w:rPr>
          <w:rFonts w:ascii="Inter" w:hAnsi="Inter" w:eastAsia="PingFang SC"/>
          <w:b/>
          <w:color w:val="3EC99E"/>
          <w:sz w:val="36"/>
        </w:rPr>
        <w:t>4.1  前端架构</w:t>
      </w:r>
    </w:p>
    <w:p w14:paraId="79BB4F9C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管理端：课程内容编辑、审核发布、课程部署、积分配置、培训矩阵、报表导出。</w:t>
      </w:r>
    </w:p>
    <w:p w14:paraId="0B9010B4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学员端：课程学习、视频播放、章节测验、考试、积分查看、学习任务清单。</w:t>
      </w:r>
    </w:p>
    <w:p w14:paraId="26D39A78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响应式支持：优先保障 PC 端体验；移动端浏览器访问按贵司实际使用场景确认适配范围。</w:t>
      </w:r>
    </w:p>
    <w:p w14:paraId="3F38CFDD">
      <w:pPr>
        <w:spacing w:before="160" w:after="80"/>
      </w:pPr>
      <w:r>
        <w:rPr>
          <w:rFonts w:ascii="Inter" w:hAnsi="Inter" w:eastAsia="PingFang SC"/>
          <w:b/>
          <w:color w:val="3EC99E"/>
          <w:sz w:val="36"/>
        </w:rPr>
        <w:t>4.2  后端服务</w:t>
      </w:r>
    </w:p>
    <w:p w14:paraId="6AF5F039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课程服务：管理课程内容、章节结构、完成规则、审核状态与版本历史。</w:t>
      </w:r>
    </w:p>
    <w:p w14:paraId="7E5B8EB4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部署服务：管理培训任务、分配对象、时间规则、提醒触发与完成统计。</w:t>
      </w:r>
    </w:p>
    <w:p w14:paraId="20581D96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学习记录服务：记录课程进度、视频观看、测验考试与过程行为信息。</w:t>
      </w:r>
    </w:p>
    <w:p w14:paraId="53DC3368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积分服务：根据学习行为自动生成积分流水，支持人工调整与完整审计日志。</w:t>
      </w:r>
    </w:p>
    <w:p w14:paraId="76E413BE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报表服务：按员工、部门、岗位、课程、时间维度聚合统计并支持导出。</w:t>
      </w:r>
    </w:p>
    <w:p w14:paraId="65B38A6D">
      <w:pPr>
        <w:spacing w:before="160" w:after="80"/>
      </w:pPr>
      <w:r>
        <w:rPr>
          <w:rFonts w:ascii="Inter" w:hAnsi="Inter" w:eastAsia="PingFang SC"/>
          <w:b/>
          <w:color w:val="3EC99E"/>
          <w:sz w:val="36"/>
        </w:rPr>
        <w:t>4.3  文件与视频存储</w:t>
      </w:r>
    </w:p>
    <w:p w14:paraId="0EE4EC7B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文档与图片统一接入文件资源服务，支持权限控制与后续扩容。</w:t>
      </w:r>
    </w:p>
    <w:p w14:paraId="33603904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视频文件采用对象存储方案，与业务服务器磁盘完全分离。</w:t>
      </w:r>
    </w:p>
    <w:p w14:paraId="38D45EFD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基础版支持 MP4 原文件播放；如需 HLS 分片、转码或 CDN 加速，可在增强阶段按需接入。</w:t>
      </w:r>
    </w:p>
    <w:p w14:paraId="39A671BD">
      <w:pPr>
        <w:spacing w:before="160" w:after="80"/>
      </w:pPr>
      <w:r>
        <w:rPr>
          <w:rFonts w:ascii="Inter" w:hAnsi="Inter" w:eastAsia="PingFang SC"/>
          <w:b/>
          <w:color w:val="3EC99E"/>
          <w:sz w:val="36"/>
        </w:rPr>
        <w:t>4.4  权限与数据安全</w:t>
      </w:r>
    </w:p>
    <w:p w14:paraId="3BD1868B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角色体系：管理员、培训负责人、审核人、部门负责人、普通学员各具不同操作权限。</w:t>
      </w:r>
    </w:p>
    <w:p w14:paraId="4911C883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关键操作审计：课程发布、积分人工调整、部署撤销等操作均记录操作人与时间戳。</w:t>
      </w:r>
    </w:p>
    <w:p w14:paraId="5F3C2256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数据保护：学习记录、考试成绩与积分流水不可随意修改；必要修改需保留原因与操作人，满足 GDPR 相关的数据可追溯要求。</w:t>
      </w:r>
    </w:p>
    <w:p w14:paraId="6DEFBE8A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私有化部署：系统数据存储在贵司环境内，不向第三方上传原始员工数据。</w:t>
      </w:r>
    </w:p>
    <w:p w14:paraId="70EE0348"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五、我们的交付承诺</w:t>
      </w:r>
    </w:p>
    <w:p w14:paraId="419A3C82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选择一个技术伙伴，考量的不只是功能清单，更是对方能否在约定时间内稳定交付、遇到问题时是否及时响应、项目结束后是否还能依赖。以下是我们的具体承诺。</w:t>
      </w:r>
    </w:p>
    <w:p w14:paraId="30B97978">
      <w:pPr>
        <w:spacing w:before="160" w:after="80"/>
      </w:pPr>
      <w:r>
        <w:rPr>
          <w:rFonts w:ascii="Inter" w:hAnsi="Inter" w:eastAsia="PingFang SC"/>
          <w:b/>
          <w:color w:val="3EC99E"/>
          <w:sz w:val="36"/>
        </w:rPr>
        <w:t>5.1  结构化交付流程</w:t>
      </w:r>
    </w:p>
    <w:p w14:paraId="425ABD3C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项目启动前完成需求确认会议，形成需求确认清单与功能边界文档，避免后期范围蔓延。</w:t>
      </w:r>
    </w:p>
    <w:p w14:paraId="4D6C9814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每周固定同步进度、待确认事项和风险清单，贵司无需主动追问开发状态。</w:t>
      </w:r>
    </w:p>
    <w:p w14:paraId="636E7A21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原型评审阶段提前识别理解偏差，避免开发完成后的返工。</w:t>
      </w:r>
    </w:p>
    <w:p w14:paraId="4125FA5C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验收标准在项目启动前与贵司共同确认，不留模糊空间。</w:t>
      </w:r>
    </w:p>
    <w:p w14:paraId="1C25B28D">
      <w:pPr>
        <w:spacing w:before="160" w:after="80"/>
      </w:pPr>
      <w:r>
        <w:rPr>
          <w:rFonts w:ascii="Inter" w:hAnsi="Inter" w:eastAsia="PingFang SC"/>
          <w:b/>
          <w:color w:val="3EC99E"/>
          <w:sz w:val="36"/>
        </w:rPr>
        <w:t>5.2  上线后支持</w:t>
      </w:r>
    </w:p>
    <w:p w14:paraId="01E2EEC3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上线后 30 天内发现的功能缺陷，免费修复，无额外费用。</w:t>
      </w:r>
    </w:p>
    <w:p w14:paraId="5BA4849F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提供操作说明文档与视频导览，降低贵司内部推广成本。</w:t>
      </w:r>
    </w:p>
    <w:p w14:paraId="1BC5F5BC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支持远程培训：管理员使用培训 + 学员端使用演示，确保团队快速上手。</w:t>
      </w:r>
    </w:p>
    <w:p w14:paraId="6F11A233">
      <w:pPr>
        <w:spacing w:before="160" w:after="80"/>
      </w:pPr>
      <w:r>
        <w:rPr>
          <w:rFonts w:ascii="Inter" w:hAnsi="Inter" w:eastAsia="PingFang SC"/>
          <w:b/>
          <w:color w:val="3EC99E"/>
          <w:sz w:val="36"/>
        </w:rPr>
        <w:t>5.3  灵活的扩展路径</w:t>
      </w:r>
    </w:p>
    <w:p w14:paraId="376F996D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本期建设的数据模型和接口设计充分考虑后续扩展，避免二期需要重写基础架构。</w:t>
      </w:r>
    </w:p>
    <w:p w14:paraId="5528EBE3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如后续需要对接贵司现有 HRMS（SAP、Workday 等）同步组织架构，接口预留成本极低。</w:t>
      </w:r>
    </w:p>
    <w:p w14:paraId="49BC07A5">
      <w:pPr>
        <w:spacing w:before="20" w:after="60" w:line="336" w:lineRule="auto"/>
        <w:ind w:left="360" w:hanging="280"/>
      </w:pPr>
      <w:r>
        <w:rPr>
          <w:rFonts w:ascii="Inter" w:hAnsi="Inter" w:eastAsia="PingFang SC"/>
          <w:b/>
          <w:color w:val="3EC99E"/>
          <w:sz w:val="22"/>
        </w:rPr>
        <w:t xml:space="preserve">•  </w:t>
      </w:r>
      <w:r>
        <w:rPr>
          <w:rFonts w:ascii="Inter" w:hAnsi="Inter" w:eastAsia="PingFang SC"/>
          <w:color w:val="3D444A"/>
          <w:sz w:val="22"/>
        </w:rPr>
        <w:t>积分商城、岗位风险匹配、AI 课件生成等增强能力均可在现有基础上平滑扩展。</w:t>
      </w:r>
    </w:p>
    <w:p w14:paraId="05CF2313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PingFang SC"/>
          <w:b/>
          <w:color w:val="3EC99E"/>
          <w:sz w:val="19"/>
        </w:rPr>
        <w:t xml:space="preserve">合作理念    </w:t>
      </w:r>
      <w:r>
        <w:rPr>
          <w:rFonts w:ascii="Inter" w:hAnsi="Inter" w:eastAsia="PingFang SC"/>
          <w:color w:val="8A9199"/>
          <w:sz w:val="19"/>
        </w:rPr>
        <w:t>我们建立的不是单次项目交付关系，而是一个随贵司业务成长可持续迭代的数字培训基础设施。</w:t>
      </w:r>
    </w:p>
    <w:p w14:paraId="34B15B34"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六、实施计划</w:t>
      </w:r>
    </w:p>
    <w:p w14:paraId="01F621EB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按本期标准范围估算，项目建议实施周期为 8 周。若最终范围有所调整（如增加视频云服务、HRMS 数据对接或历史数据迁移），周期与报价将相应评估。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892"/>
        <w:gridCol w:w="3946"/>
        <w:gridCol w:w="2149"/>
      </w:tblGrid>
      <w:tr w14:paraId="3FC92EB0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7E496AD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阶段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28B98C33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周次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3BFB6E5C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主要工作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186B2E3F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交付物</w:t>
            </w:r>
          </w:p>
        </w:tc>
      </w:tr>
      <w:tr w14:paraId="1349B95E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B98A73A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需求确认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B9D82AD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第 1 周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8CA88AE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确认功能范围、角色权限、组织数据结构、报价版本与验收口径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C6E3529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需求确认清单、项目计划</w:t>
            </w:r>
          </w:p>
        </w:tc>
      </w:tr>
      <w:tr w14:paraId="41A3CB00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E62642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原型与设计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415D46E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第 2 周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46773CD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完成主要页面原型、数据流与接口范围设计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00C788A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页面原型、功能说明、接口清单</w:t>
            </w:r>
          </w:p>
        </w:tc>
      </w:tr>
      <w:tr w14:paraId="16ED0CF1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CE370F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核心功能开发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95419FC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第 3–6 周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042C17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开发七大功能模块：内容管理、课程部署、积分体系、视频播放、培训矩阵、防挂机、报表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5AAB25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可联调功能版本</w:t>
            </w:r>
          </w:p>
        </w:tc>
      </w:tr>
      <w:tr w14:paraId="6FC0D01A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625228D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联调与测试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313A54B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第 7 周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3249211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前后端联调、功能测试、数据测试、权限测试、导出测试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25FC4D7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测试记录、问题修复清单</w:t>
            </w:r>
          </w:p>
        </w:tc>
      </w:tr>
      <w:tr w14:paraId="476AF6E6">
        <w:trPr>
          <w:jc w:val="center"/>
        </w:trPr>
        <w:tc>
          <w:tcPr>
            <w:tcW w:w="158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22C015A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试运行与验收</w:t>
            </w:r>
          </w:p>
        </w:tc>
        <w:tc>
          <w:tcPr>
            <w:tcW w:w="907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CEF5AA6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第 8 周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763DFBE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客户试用、问题修复、验收确认、使用培训</w:t>
            </w:r>
          </w:p>
        </w:tc>
        <w:tc>
          <w:tcPr>
            <w:tcW w:w="221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5652D21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验收版本、操作说明、交付清单</w:t>
            </w:r>
          </w:p>
        </w:tc>
      </w:tr>
    </w:tbl>
    <w:p w14:paraId="342EC7D8">
      <w:pPr>
        <w:spacing w:before="0" w:after="160" w:line="360" w:lineRule="auto"/>
        <w:ind w:firstLine="440"/>
      </w:pPr>
    </w:p>
    <w:p w14:paraId="32C2152E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PingFang SC"/>
          <w:b/>
          <w:color w:val="3EC99E"/>
          <w:sz w:val="19"/>
        </w:rPr>
        <w:t>客户侧配合：</w:t>
      </w:r>
      <w:r>
        <w:rPr>
          <w:rFonts w:ascii="Inter" w:hAnsi="Inter" w:eastAsia="PingFang SC"/>
          <w:color w:val="8A9199"/>
          <w:sz w:val="19"/>
        </w:rPr>
        <w:t>项目实施期间，需贵司指定业务负责人参与需求确认、原型评审、测试验收和上线试运行，预计每周沟通时间约 1–2 小时。高效的客户配合是项目按时交付的重要保障。</w:t>
      </w:r>
    </w:p>
    <w:p w14:paraId="583E4293"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七、下一步行动</w:t>
      </w:r>
    </w:p>
    <w:p w14:paraId="79054CFF">
      <w:pPr>
        <w:spacing w:before="0" w:after="160" w:line="360" w:lineRule="auto"/>
        <w:ind w:firstLine="440"/>
      </w:pPr>
      <w:r>
        <w:rPr>
          <w:rFonts w:ascii="Inter" w:hAnsi="Inter" w:eastAsia="PingFang SC"/>
          <w:color w:val="3D444A"/>
          <w:sz w:val="22"/>
        </w:rPr>
        <w:t>如贵司对本建议书的方向认可，建议通过以下三步推进项目落地：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"/>
        <w:gridCol w:w="3947"/>
        <w:gridCol w:w="1651"/>
        <w:gridCol w:w="1981"/>
      </w:tblGrid>
      <w:tr w14:paraId="34C69C30">
        <w:trPr>
          <w:jc w:val="center"/>
        </w:trPr>
        <w:tc>
          <w:tcPr>
            <w:tcW w:w="9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5178610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步骤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5A3D2A98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动作</w:t>
            </w:r>
          </w:p>
        </w:tc>
        <w:tc>
          <w:tcPr>
            <w:tcW w:w="170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4039CC78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建议时间</w:t>
            </w:r>
          </w:p>
        </w:tc>
        <w:tc>
          <w:tcPr>
            <w:tcW w:w="204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3EC99E"/>
          </w:tcPr>
          <w:p w14:paraId="606AB9F7">
            <w:pPr>
              <w:spacing w:before="100" w:after="100" w:line="240" w:lineRule="auto"/>
              <w:jc w:val="center"/>
            </w:pPr>
            <w:r>
              <w:rPr>
                <w:rFonts w:ascii="Inter" w:hAnsi="Inter" w:eastAsia="PingFang SC"/>
                <w:b/>
                <w:color w:val="F8FAFC"/>
                <w:sz w:val="20"/>
              </w:rPr>
              <w:t>贵司对接人</w:t>
            </w:r>
          </w:p>
        </w:tc>
      </w:tr>
      <w:tr w14:paraId="194FF951">
        <w:trPr>
          <w:jc w:val="center"/>
        </w:trPr>
        <w:tc>
          <w:tcPr>
            <w:tcW w:w="9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7216C59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Step 1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385C64A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安排范围确认会议，逐项确认功能细节与技术边界</w:t>
            </w:r>
          </w:p>
        </w:tc>
        <w:tc>
          <w:tcPr>
            <w:tcW w:w="170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1C21C4F2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建议 1 周内</w:t>
            </w:r>
          </w:p>
        </w:tc>
        <w:tc>
          <w:tcPr>
            <w:tcW w:w="204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095D784A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HR / 培训负责人</w:t>
            </w:r>
          </w:p>
        </w:tc>
      </w:tr>
      <w:tr w14:paraId="7E210185">
        <w:trPr>
          <w:jc w:val="center"/>
        </w:trPr>
        <w:tc>
          <w:tcPr>
            <w:tcW w:w="9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53B9F875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Step 2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3F2123F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基于确认范围出具正式报价单，双方签署合作协议</w:t>
            </w:r>
          </w:p>
        </w:tc>
        <w:tc>
          <w:tcPr>
            <w:tcW w:w="170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79569123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建议 2 周内</w:t>
            </w:r>
          </w:p>
        </w:tc>
        <w:tc>
          <w:tcPr>
            <w:tcW w:w="204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shd w:val="clear" w:color="auto" w:fill="F2F3F5"/>
          </w:tcPr>
          <w:p w14:paraId="1FEC8850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HR / 采购</w:t>
            </w:r>
          </w:p>
        </w:tc>
      </w:tr>
      <w:tr w14:paraId="621E21CB">
        <w:trPr>
          <w:jc w:val="center"/>
        </w:trPr>
        <w:tc>
          <w:tcPr>
            <w:tcW w:w="964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9FF0FAE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Step 3</w:t>
            </w:r>
          </w:p>
        </w:tc>
        <w:tc>
          <w:tcPr>
            <w:tcW w:w="4082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6A9CE40B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项目正式启动，我方提交项目计划与第一版原型</w:t>
            </w:r>
          </w:p>
        </w:tc>
        <w:tc>
          <w:tcPr>
            <w:tcW w:w="170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46E07864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签约后 1 周</w:t>
            </w:r>
          </w:p>
        </w:tc>
        <w:tc>
          <w:tcPr>
            <w:tcW w:w="2041" w:type="dx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</w:tcPr>
          <w:p w14:paraId="22FDC236">
            <w:pPr>
              <w:spacing w:before="80" w:after="80" w:line="240" w:lineRule="auto"/>
            </w:pPr>
            <w:r>
              <w:rPr>
                <w:rFonts w:ascii="Inter" w:hAnsi="Inter" w:eastAsia="PingFang SC"/>
                <w:color w:val="3D444A"/>
                <w:sz w:val="21"/>
              </w:rPr>
              <w:t>IT / 业务负责人</w:t>
            </w:r>
          </w:p>
        </w:tc>
      </w:tr>
    </w:tbl>
    <w:p w14:paraId="68BF2AA8">
      <w:pPr>
        <w:spacing w:before="0" w:after="160" w:line="360" w:lineRule="auto"/>
        <w:ind w:firstLine="440"/>
      </w:pPr>
    </w:p>
    <w:p w14:paraId="047DC691">
      <w:pPr>
        <w:pBdr>
          <w:left w:val="single" w:color="3EC99E" w:sz="24" w:space="12"/>
        </w:pBdr>
        <w:shd w:val="clear" w:color="auto" w:fill="F2F3F5"/>
        <w:spacing w:before="80" w:after="80"/>
        <w:ind w:left="160" w:right="160"/>
      </w:pPr>
      <w:r>
        <w:rPr>
          <w:rFonts w:ascii="Inter" w:hAnsi="Inter" w:eastAsia="PingFang SC"/>
          <w:b/>
          <w:color w:val="3EC99E"/>
          <w:sz w:val="19"/>
        </w:rPr>
        <w:t xml:space="preserve">联系我们    </w:t>
      </w:r>
      <w:r>
        <w:rPr>
          <w:rFonts w:ascii="Inter" w:hAnsi="Inter" w:eastAsia="PingFang SC"/>
          <w:color w:val="8A9199"/>
          <w:sz w:val="19"/>
        </w:rPr>
        <w:t>我们已为 Vesuvius 中国区预备了专项资源。如需提前了解平台演示或进行技术对话，欢迎随时安排。期待与贵团队建立长期合作。</w:t>
      </w:r>
    </w:p>
    <w:p w14:paraId="709A5D20"/>
    <w:p w14:paraId="43146F29"/>
    <w:p w14:paraId="2DB1AB25"/>
    <w:p w14:paraId="00E33717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4"/>
      </w:tblGrid>
      <w:tr w14:paraId="417DAC1C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679E40A9"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公司名称：未来方舟（上海）科技有限公司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2231B14C">
            <w:pPr>
              <w:spacing w:before="100" w:after="100"/>
            </w:pPr>
          </w:p>
        </w:tc>
      </w:tr>
      <w:tr w14:paraId="2E49F054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5582B8F"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授权签字：＿＿＿＿＿＿＿＿＿＿＿＿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4C3100C5"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公司盖章：（公章）</w:t>
            </w:r>
          </w:p>
        </w:tc>
      </w:tr>
      <w:tr w14:paraId="5466DE5A">
        <w:trPr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4FA2C92A"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出具日期：     年      月      日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3AC38B0E">
            <w:pPr>
              <w:spacing w:before="100" w:after="100"/>
            </w:pPr>
          </w:p>
        </w:tc>
      </w:tr>
    </w:tbl>
    <w:p w14:paraId="4067A5B3"/>
    <w:sectPr>
      <w:headerReference r:id="rId5" w:type="default"/>
      <w:footerReference r:id="rId6" w:type="default"/>
      <w:pgSz w:w="11906" w:h="16838"/>
      <w:pgMar w:top="1440" w:right="1797" w:bottom="1440" w:left="1797" w:header="56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0"/>
      <w:gridCol w:w="4268"/>
    </w:tblGrid>
    <w:tr w14:paraId="2F031D08">
      <w:trPr>
        <w:jc w:val="center"/>
      </w:trPr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22ECA5C9"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w="4394" w:type="dxa"/>
          <w:tcBorders>
            <w:top w:val="single" w:color="D0D5DD" w:sz="4" w:space="0"/>
            <w:left w:val="nil"/>
            <w:bottom w:val="nil"/>
            <w:right w:val="nil"/>
          </w:tcBorders>
        </w:tcPr>
        <w:p w14:paraId="66EA80EF"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机密文件 · 仅供 Vesuvius 中国区内部参阅</w:t>
          </w:r>
        </w:p>
      </w:tc>
    </w:tr>
  </w:tbl>
  <w:p w14:paraId="1AF729C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073"/>
      <w:gridCol w:w="2455"/>
    </w:tblGrid>
    <w:tr w14:paraId="6B21E740">
      <w:trPr>
        <w:jc w:val="center"/>
      </w:trPr>
      <w:tc>
        <w:tcPr>
          <w:tcW w:w="6236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003BD7FA">
          <w:pPr>
            <w:spacing w:before="0" w:after="0"/>
            <w:jc w:val="left"/>
            <w:rPr>
              <w:rFonts w:hint="eastAsia" w:eastAsia="SimSun"/>
              <w:lang w:eastAsia="zh-CN"/>
            </w:rPr>
          </w:pPr>
          <w:r>
            <w:rPr>
              <w:rFonts w:hint="eastAsia" w:eastAsia="SimSun"/>
              <w:lang w:eastAsia="zh-CN"/>
            </w:rPr>
            <w:drawing>
              <wp:inline distT="0" distB="0" distL="114300" distR="114300">
                <wp:extent cx="1483360" cy="376555"/>
                <wp:effectExtent l="0" t="0" r="0" b="0"/>
                <wp:docPr id="4" name="Picture 4" descr="logo-horizontal-prim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-horizontal-primary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3360" cy="376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1" w:type="dxa"/>
          <w:tcBorders>
            <w:top w:val="nil"/>
            <w:left w:val="nil"/>
            <w:bottom w:val="single" w:color="3EC99E" w:sz="6" w:space="0"/>
            <w:right w:val="nil"/>
          </w:tcBorders>
          <w:vAlign w:val="center"/>
        </w:tcPr>
        <w:p w14:paraId="21715E7B"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解决方案建议书</w:t>
          </w:r>
        </w:p>
      </w:tc>
    </w:tr>
  </w:tbl>
  <w:p w14:paraId="63DDE5C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5FE1E4"/>
    <w:rsid w:val="DBF9F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lukkawoo</cp:lastModifiedBy>
  <dcterms:modified xsi:type="dcterms:W3CDTF">2026-06-09T18:01:45Z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CAC3DF0B6CE5B12235E4276A060C080F_42</vt:lpwstr>
  </property>
</Properties>
</file>