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F0A19">
      <w:pPr>
        <w:shd w:val="clear" w:color="auto" w:fill="3EC99E"/>
        <w:spacing w:before="0" w:after="0"/>
      </w:pPr>
      <w:r>
        <w:rPr>
          <w:rFonts w:ascii="Inter" w:hAnsi="Inter" w:eastAsia="Alibaba PuHuiTi 2.0" w:cs="Alibaba PuHuiTi 2.0"/>
          <w:sz w:val="12"/>
        </w:rPr>
        <w:t xml:space="preserve">  </w:t>
      </w:r>
    </w:p>
    <w:p w14:paraId="23EF0D7B">
      <w:pPr>
        <w:spacing w:after="0"/>
      </w:pPr>
    </w:p>
    <w:p w14:paraId="3199234F">
      <w:pPr>
        <w:spacing w:after="0"/>
      </w:pPr>
    </w:p>
    <w:p w14:paraId="547590E6">
      <w:pPr>
        <w:spacing w:after="0"/>
      </w:pPr>
    </w:p>
    <w:p w14:paraId="5509AC80">
      <w:pPr>
        <w:spacing w:before="0" w:after="80"/>
        <w:jc w:val="center"/>
      </w:pPr>
      <w:r>
        <w:rPr>
          <w:rFonts w:ascii="Inter" w:hAnsi="Inter" w:eastAsia="Alibaba PuHuiTi 2.0" w:cs="Alibaba PuHuiTi 2.0"/>
        </w:rPr>
        <w:drawing>
          <wp:inline distT="0" distB="0" distL="114300" distR="114300">
            <wp:extent cx="1871980" cy="1320165"/>
            <wp:effectExtent l="0" t="0" r="762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32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C784">
      <w:pPr>
        <w:spacing w:after="0"/>
        <w:jc w:val="center"/>
      </w:pPr>
      <w:r>
        <w:rPr>
          <w:rFonts w:ascii="Inter" w:hAnsi="Inter" w:eastAsia="Alibaba PuHuiTi 2.0" w:cs="Alibaba PuHuiTi 2.0"/>
          <w:color w:val="8A9199"/>
          <w:sz w:val="17"/>
        </w:rPr>
        <w:t>致 Vesuvius 中国区  |  PROPOSAL FOR VESUVIUS CHINA</w:t>
      </w:r>
    </w:p>
    <w:p w14:paraId="0764413D">
      <w:pPr>
        <w:pBdr>
          <w:bottom w:val="single" w:color="3EC99E" w:sz="12" w:space="1"/>
        </w:pBdr>
        <w:spacing w:before="280" w:after="280"/>
      </w:pPr>
    </w:p>
    <w:p w14:paraId="7FD6DC81">
      <w:pPr>
        <w:spacing w:before="80" w:after="120"/>
        <w:jc w:val="center"/>
      </w:pPr>
      <w:r>
        <w:rPr>
          <w:rFonts w:ascii="Inter" w:hAnsi="Inter" w:eastAsia="Alibaba PuHuiTi 2.0" w:cs="Alibaba PuHuiTi 2.0"/>
          <w:b/>
          <w:color w:val="0E1216"/>
          <w:sz w:val="48"/>
        </w:rPr>
        <w:t>企业培训平台功能增强建设建议书</w:t>
      </w:r>
    </w:p>
    <w:p w14:paraId="2EFE50B3">
      <w:pPr>
        <w:spacing w:before="0" w:after="320"/>
        <w:jc w:val="center"/>
      </w:pPr>
      <w:r>
        <w:rPr>
          <w:rFonts w:ascii="Inter" w:hAnsi="Inter" w:eastAsia="Alibaba PuHuiTi 2.0" w:cs="Alibaba PuHuiTi 2.0"/>
          <w:color w:val="8A9199"/>
          <w:sz w:val="22"/>
        </w:rPr>
        <w:t>Enterprise Training Platform Enhancement Proposal</w:t>
      </w:r>
    </w:p>
    <w:p w14:paraId="5F7EC8C8">
      <w:pPr>
        <w:spacing w:after="80"/>
        <w:jc w:val="center"/>
      </w:pPr>
      <w:r>
        <w:rPr>
          <w:rFonts w:ascii="Inter" w:hAnsi="Inter" w:eastAsia="Alibaba PuHuiTi 2.0" w:cs="Alibaba PuHuiTi 2.0"/>
          <w:color w:val="3D444A"/>
          <w:sz w:val="20"/>
        </w:rPr>
        <w:t>培训内容管理  ·  课程部署  ·  积分激励  ·  视频培训  ·  培训矩阵  ·  数据台账</w:t>
      </w:r>
    </w:p>
    <w:p w14:paraId="14889A91"/>
    <w:p w14:paraId="312F7F71"/>
    <w:p w14:paraId="51823D47"/>
    <w:p w14:paraId="46FDD048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1"/>
        <w:gridCol w:w="2986"/>
        <w:gridCol w:w="2471"/>
      </w:tblGrid>
      <w:tr w14:paraId="13DEEC08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F1BCED">
            <w:pPr>
              <w:spacing w:before="0" w:after="0"/>
              <w:jc w:val="left"/>
            </w:pPr>
            <w:r>
              <w:rPr>
                <w:rFonts w:ascii="Inter" w:hAnsi="Inter" w:eastAsia="Alibaba PuHuiTi 2.0" w:cs="Alibaba PuHuiTi 2.0"/>
              </w:rPr>
              <w:drawing>
                <wp:inline distT="0" distB="0" distL="114300" distR="114300">
                  <wp:extent cx="1259840" cy="31940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19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072130">
            <w:pPr>
              <w:spacing w:before="0" w:after="40"/>
              <w:jc w:val="center"/>
            </w:pPr>
            <w:r>
              <w:rPr>
                <w:rFonts w:ascii="Inter" w:hAnsi="Inter" w:eastAsia="Alibaba PuHuiTi 2.0" w:cs="Alibaba PuHuiTi 2.0"/>
                <w:color w:val="3D444A"/>
                <w:sz w:val="16"/>
              </w:rPr>
              <w:t>未来方舟（上海）科技有限公司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05389">
            <w:pPr>
              <w:spacing w:before="0" w:after="40"/>
              <w:jc w:val="right"/>
            </w:pPr>
            <w:r>
              <w:rPr>
                <w:rFonts w:ascii="Inter" w:hAnsi="Inter" w:eastAsia="Alibaba PuHuiTi 2.0" w:cs="Alibaba PuHuiTi 2.0"/>
                <w:i/>
                <w:color w:val="8A9199"/>
                <w:sz w:val="15"/>
              </w:rPr>
              <w:t>V2.0  ·  2026 年 6 月</w:t>
            </w:r>
            <w:r>
              <w:rPr>
                <w:rFonts w:ascii="Inter" w:hAnsi="Inter" w:eastAsia="Alibaba PuHuiTi 2.0" w:cs="Alibaba PuHuiTi 2.0"/>
                <w:i/>
                <w:color w:val="8A9199"/>
                <w:sz w:val="15"/>
              </w:rPr>
              <w:br w:type="textWrapping"/>
            </w:r>
            <w:r>
              <w:rPr>
                <w:rFonts w:ascii="Inter" w:hAnsi="Inter" w:eastAsia="Alibaba PuHuiTi 2.0" w:cs="Alibaba PuHuiTi 2.0"/>
                <w:i/>
                <w:color w:val="8A9199"/>
                <w:sz w:val="15"/>
              </w:rPr>
              <w:t>机密文件，仅供内部参阅</w:t>
            </w:r>
          </w:p>
        </w:tc>
      </w:tr>
    </w:tbl>
    <w:p w14:paraId="575A40F8">
      <w:pPr>
        <w:spacing w:before="0" w:after="0"/>
      </w:pPr>
      <w:r>
        <w:rPr>
          <w:rFonts w:ascii="Inter" w:hAnsi="Inter" w:eastAsia="Alibaba PuHuiTi 2.0" w:cs="Alibaba PuHuiTi 2.0"/>
        </w:rPr>
        <w:br w:type="page"/>
      </w:r>
    </w:p>
    <w:p w14:paraId="1843324A">
      <w:pPr>
        <w:spacing w:before="120" w:after="40"/>
        <w:jc w:val="center"/>
      </w:pPr>
      <w:r>
        <w:rPr>
          <w:rFonts w:ascii="Inter" w:hAnsi="Inter" w:eastAsia="Alibaba PuHuiTi 2.0" w:cs="Alibaba PuHuiTi 2.0"/>
          <w:b/>
          <w:color w:val="0E1216"/>
          <w:sz w:val="40"/>
        </w:rPr>
        <w:t>企业培训平台功能增强建设建议书</w:t>
      </w:r>
    </w:p>
    <w:p w14:paraId="3FD08B3D">
      <w:pPr>
        <w:spacing w:before="0" w:after="240"/>
        <w:jc w:val="center"/>
      </w:pPr>
      <w:r>
        <w:rPr>
          <w:rFonts w:ascii="Inter" w:hAnsi="Inter" w:eastAsia="Alibaba PuHuiTi 2.0" w:cs="Alibaba PuHuiTi 2.0"/>
          <w:color w:val="8A9199"/>
          <w:sz w:val="18"/>
        </w:rPr>
        <w:t>ENTERPRISE TRAINING PLATFORM ENHANCEMENT PROPOSAL  ·  FOR VESUVIUS CHINA</w:t>
      </w:r>
    </w:p>
    <w:p w14:paraId="6BCA51B0">
      <w:pPr>
        <w:pBdr>
          <w:bottom w:val="single" w:color="3EC99E" w:sz="6" w:space="1"/>
        </w:pBdr>
        <w:spacing w:before="0" w:after="320"/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236"/>
      </w:tblGrid>
      <w:tr w14:paraId="26046EB9">
        <w:trPr>
          <w:jc w:val="center"/>
        </w:trPr>
        <w:tc>
          <w:tcPr>
            <w:tcW w:w="198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AFAF5"/>
            <w:vAlign w:val="center"/>
          </w:tcPr>
          <w:p w14:paraId="6920F0CF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0"/>
              </w:rPr>
              <w:t>客户单位</w:t>
            </w:r>
          </w:p>
        </w:tc>
        <w:tc>
          <w:tcPr>
            <w:tcW w:w="623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B4A4A1B">
            <w:pPr>
              <w:spacing w:before="100" w:after="10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Vesuvius 中国区</w:t>
            </w:r>
          </w:p>
        </w:tc>
      </w:tr>
      <w:tr w14:paraId="53D07853">
        <w:trPr>
          <w:jc w:val="center"/>
        </w:trPr>
        <w:tc>
          <w:tcPr>
            <w:tcW w:w="198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  <w:vAlign w:val="center"/>
          </w:tcPr>
          <w:p w14:paraId="1586C1F7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0"/>
              </w:rPr>
              <w:t>项目名称</w:t>
            </w:r>
          </w:p>
        </w:tc>
        <w:tc>
          <w:tcPr>
            <w:tcW w:w="623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CA9F48D">
            <w:pPr>
              <w:spacing w:before="100" w:after="10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企业培训平台功能增强建设项目</w:t>
            </w:r>
          </w:p>
        </w:tc>
      </w:tr>
      <w:tr w14:paraId="3CCF80D8">
        <w:trPr>
          <w:jc w:val="center"/>
        </w:trPr>
        <w:tc>
          <w:tcPr>
            <w:tcW w:w="198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AFAF5"/>
            <w:vAlign w:val="center"/>
          </w:tcPr>
          <w:p w14:paraId="535FC92A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0"/>
              </w:rPr>
              <w:t>建议版本</w:t>
            </w:r>
          </w:p>
        </w:tc>
        <w:tc>
          <w:tcPr>
            <w:tcW w:w="623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1994BB7">
            <w:pPr>
              <w:spacing w:before="100" w:after="10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V2.0</w:t>
            </w:r>
          </w:p>
        </w:tc>
      </w:tr>
      <w:tr w14:paraId="33B3C84A">
        <w:trPr>
          <w:jc w:val="center"/>
        </w:trPr>
        <w:tc>
          <w:tcPr>
            <w:tcW w:w="198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  <w:vAlign w:val="center"/>
          </w:tcPr>
          <w:p w14:paraId="25CE5F33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0"/>
              </w:rPr>
              <w:t>预计周期</w:t>
            </w:r>
          </w:p>
        </w:tc>
        <w:tc>
          <w:tcPr>
            <w:tcW w:w="623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075F81B">
            <w:pPr>
              <w:spacing w:before="100" w:after="10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约 8 周（视最终范围确认）</w:t>
            </w:r>
          </w:p>
        </w:tc>
      </w:tr>
    </w:tbl>
    <w:p w14:paraId="39056405"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一、项目背景与目标</w:t>
      </w:r>
    </w:p>
    <w:p w14:paraId="42113819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贵司现有培训平台已具备基础的内容管理能力。本次增强的核心目标是让培训从"内容已发布"真正走向"任务被完成、过程有记录、结果可追溯"——让</w:t>
      </w:r>
      <w:r>
        <w:rPr>
          <w:rFonts w:hint="eastAsia" w:eastAsia="Alibaba PuHuiTi 2.0" w:cs="Alibaba PuHuiTi 2.0"/>
          <w:color w:val="3D444A"/>
          <w:sz w:val="22"/>
          <w:lang w:val="en-US" w:eastAsia="zh-CN"/>
        </w:rPr>
        <w:t>培训</w:t>
      </w:r>
      <w:r>
        <w:rPr>
          <w:rFonts w:ascii="Inter" w:hAnsi="Inter" w:eastAsia="Alibaba PuHuiTi 2.0" w:cs="Alibaba PuHuiTi 2.0"/>
          <w:color w:val="3D444A"/>
          <w:sz w:val="22"/>
        </w:rPr>
        <w:t>管理不再依赖手工 Excel 和微信群催促，让每一次培训都有闭环。</w:t>
      </w:r>
    </w:p>
    <w:p w14:paraId="49073223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本期建设将在六个维度产生直接的管理改变：</w:t>
      </w:r>
    </w:p>
    <w:p w14:paraId="52F8D873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培训任务有人认领、有截止时间、完成情况实时可查，执行率可量化。</w:t>
      </w:r>
    </w:p>
    <w:p w14:paraId="17F6BF4C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员工参与有正向激励和逾期约束，学习行为有数据记录。</w:t>
      </w:r>
    </w:p>
    <w:p w14:paraId="7998DEC6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操作规程、安全演示等视频内容可</w:t>
      </w:r>
      <w:r>
        <w:rPr>
          <w:rFonts w:hint="eastAsia" w:eastAsia="Alibaba PuHuiTi 2.0" w:cs="Alibaba PuHuiTi 2.0"/>
          <w:color w:val="3D444A"/>
          <w:sz w:val="21"/>
          <w:lang w:val="en-US" w:eastAsia="zh-CN"/>
        </w:rPr>
        <w:t>上传课程并分发部署</w:t>
      </w:r>
      <w:r>
        <w:rPr>
          <w:rFonts w:ascii="Inter" w:hAnsi="Inter" w:eastAsia="Alibaba PuHuiTi 2.0" w:cs="Alibaba PuHuiTi 2.0"/>
          <w:color w:val="3D444A"/>
          <w:sz w:val="21"/>
        </w:rPr>
        <w:t>，观看完成情况自动留痕。</w:t>
      </w:r>
    </w:p>
    <w:p w14:paraId="7C551F48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一张培训矩阵实时展示所有员工的课程覆盖情况，无需人工汇总。</w:t>
      </w:r>
    </w:p>
    <w:p w14:paraId="471FC6BA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学习过程真实性有基础保障，培训记录具备可信度与</w:t>
      </w:r>
      <w:r>
        <w:rPr>
          <w:rFonts w:hint="eastAsia" w:eastAsia="Alibaba PuHuiTi 2.0" w:cs="Alibaba PuHuiTi 2.0"/>
          <w:color w:val="3D444A"/>
          <w:sz w:val="21"/>
          <w:lang w:val="en-US" w:eastAsia="zh-CN"/>
        </w:rPr>
        <w:t>可</w:t>
      </w:r>
      <w:r>
        <w:rPr>
          <w:rFonts w:ascii="Inter" w:hAnsi="Inter" w:eastAsia="Alibaba PuHuiTi 2.0" w:cs="Alibaba PuHuiTi 2.0"/>
          <w:color w:val="3D444A"/>
          <w:sz w:val="21"/>
        </w:rPr>
        <w:t>审计能力。</w:t>
      </w:r>
    </w:p>
    <w:p w14:paraId="527A6BFD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培训记录、积分流水、考试台账具备向合规档案扩展的数据基础。</w:t>
      </w:r>
    </w:p>
    <w:p w14:paraId="0892EBF6">
      <w:pPr>
        <w:pBdr>
          <w:left w:val="single" w:color="3EC99E" w:sz="24" w:space="12"/>
        </w:pBdr>
        <w:shd w:val="clear" w:color="auto" w:fill="F2F3F5"/>
        <w:spacing w:before="80" w:after="80"/>
        <w:ind w:left="160" w:right="160"/>
      </w:pPr>
      <w:r>
        <w:rPr>
          <w:rFonts w:ascii="Inter" w:hAnsi="Inter" w:eastAsia="Alibaba PuHuiTi 2.0" w:cs="Alibaba PuHuiTi 2.0"/>
          <w:b/>
          <w:color w:val="3EC99E"/>
          <w:sz w:val="19"/>
        </w:rPr>
        <w:t xml:space="preserve">概括  </w:t>
      </w:r>
      <w:r>
        <w:rPr>
          <w:rFonts w:ascii="Inter" w:hAnsi="Inter" w:eastAsia="Alibaba PuHuiTi 2.0" w:cs="Alibaba PuHuiTi 2.0"/>
          <w:color w:val="8A9199"/>
          <w:sz w:val="19"/>
        </w:rPr>
        <w:t>建设主线：内容可管理 → 任务可部署 → 过程可监督 → 结果可统计 → 数据可导出。</w:t>
      </w:r>
    </w:p>
    <w:p w14:paraId="163B2E78"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二、本期建设范围</w:t>
      </w:r>
    </w:p>
    <w:p w14:paraId="23359853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本期围绕七个功能版块展开建设，每个版块都直接对应具体痛点。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6435"/>
      </w:tblGrid>
      <w:tr w14:paraId="5DBD6B28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2D6573F8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功能版块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1577A9E7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对 Vesuvius 的直接价值</w:t>
            </w:r>
          </w:p>
        </w:tc>
      </w:tr>
      <w:tr w14:paraId="569DA228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99421CF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培训内容管理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06651FC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课程内容有人审核、有版本记录，确保员工看到的是</w:t>
            </w:r>
            <w:r>
              <w:rPr>
                <w:rFonts w:hint="eastAsia" w:eastAsia="Alibaba PuHuiTi 2.0" w:cs="Alibaba PuHuiTi 2.0"/>
                <w:color w:val="3D444A"/>
                <w:sz w:val="21"/>
                <w:lang w:val="en-US" w:eastAsia="zh-CN"/>
              </w:rPr>
              <w:t>已审核、</w:t>
            </w: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已授权的最新版本</w:t>
            </w:r>
          </w:p>
        </w:tc>
      </w:tr>
      <w:tr w14:paraId="09C0D575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3308A756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课程部署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204A1FF8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每次培训都有明确责任人</w:t>
            </w:r>
            <w:r>
              <w:rPr>
                <w:rFonts w:hint="eastAsia" w:eastAsia="Alibaba PuHuiTi 2.0" w:cs="Alibaba PuHuiTi 2.0"/>
                <w:color w:val="3D444A"/>
                <w:sz w:val="21"/>
                <w:lang w:eastAsia="zh-CN"/>
              </w:rPr>
              <w:t>、</w:t>
            </w:r>
            <w:r>
              <w:rPr>
                <w:rFonts w:hint="eastAsia" w:eastAsia="Alibaba PuHuiTi 2.0" w:cs="Alibaba PuHuiTi 2.0"/>
                <w:color w:val="3D444A"/>
                <w:sz w:val="21"/>
                <w:lang w:val="en-US" w:eastAsia="zh-CN"/>
              </w:rPr>
              <w:t>部署人</w:t>
            </w: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、截止时间和完成追踪，</w:t>
            </w:r>
            <w:r>
              <w:rPr>
                <w:rFonts w:hint="eastAsia" w:eastAsia="Alibaba PuHuiTi 2.0" w:cs="Alibaba PuHuiTi 2.0"/>
                <w:color w:val="3D444A"/>
                <w:sz w:val="21"/>
                <w:lang w:val="en-US" w:eastAsia="zh-CN"/>
              </w:rPr>
              <w:t>邮件+平台双提醒系统性</w:t>
            </w: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告别催促</w:t>
            </w:r>
          </w:p>
        </w:tc>
      </w:tr>
      <w:tr w14:paraId="3709154E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EC2F665">
            <w:pPr>
              <w:spacing w:before="80" w:after="80" w:line="240" w:lineRule="auto"/>
            </w:pPr>
            <w:r>
              <w:rPr>
                <w:rFonts w:hint="eastAsia" w:eastAsia="Alibaba PuHuiTi 2.0" w:cs="Alibaba PuHuiTi 2.0"/>
                <w:color w:val="3D444A"/>
                <w:sz w:val="21"/>
                <w:lang w:val="en-US" w:eastAsia="zh-CN"/>
              </w:rPr>
              <w:t>正负</w:t>
            </w: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积分体系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126A7BF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完成课程有奖励、逾期有约束，积分</w:t>
            </w:r>
            <w:r>
              <w:rPr>
                <w:rFonts w:hint="eastAsia" w:eastAsia="Alibaba PuHuiTi 2.0" w:cs="Alibaba PuHuiTi 2.0"/>
                <w:color w:val="3D444A"/>
                <w:sz w:val="21"/>
                <w:lang w:val="en-US" w:eastAsia="zh-CN"/>
              </w:rPr>
              <w:t>规则和</w:t>
            </w: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记录透明，驱动员工主动学习</w:t>
            </w:r>
          </w:p>
        </w:tc>
      </w:tr>
      <w:tr w14:paraId="2AA3F5F4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9170BD4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视频培训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64221A5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上传操作规程或安全演示视频，员工</w:t>
            </w:r>
            <w:r>
              <w:rPr>
                <w:rFonts w:hint="eastAsia" w:eastAsia="Alibaba PuHuiTi 2.0" w:cs="Alibaba PuHuiTi 2.0"/>
                <w:color w:val="3D444A"/>
                <w:sz w:val="21"/>
                <w:lang w:val="en-US" w:eastAsia="zh-CN"/>
              </w:rPr>
              <w:t>可</w:t>
            </w: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在线观看，系统自动记录完成状态</w:t>
            </w:r>
          </w:p>
        </w:tc>
      </w:tr>
      <w:tr w14:paraId="774454FD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6D7AFFA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培训矩阵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FB52CC5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一张实时视图展示所有员工的课程完成率，部门/岗位缺口一眼可见</w:t>
            </w:r>
          </w:p>
        </w:tc>
      </w:tr>
      <w:tr w14:paraId="3252C974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0CE2E85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学习过程监督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791A617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系统记录学习行为真实性，减少挂机和无效观看，保障培训数据可信度</w:t>
            </w:r>
          </w:p>
        </w:tc>
      </w:tr>
      <w:tr w14:paraId="57CE5245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1710B68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数据统计与台账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9FA86DF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完成报表、考试记录、积分</w:t>
            </w:r>
            <w:r>
              <w:rPr>
                <w:rFonts w:hint="eastAsia" w:eastAsia="Alibaba PuHuiTi 2.0" w:cs="Alibaba PuHuiTi 2.0"/>
                <w:color w:val="3D444A"/>
                <w:sz w:val="21"/>
                <w:lang w:val="en-US" w:eastAsia="zh-CN"/>
              </w:rPr>
              <w:t>明细可</w:t>
            </w: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一键导出，支持内部汇报与合规备查</w:t>
            </w:r>
          </w:p>
        </w:tc>
      </w:tr>
    </w:tbl>
    <w:p w14:paraId="497AFF5C"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三、功能方案</w:t>
      </w:r>
    </w:p>
    <w:p w14:paraId="4ED28A3E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3.1  培训内容管理</w:t>
      </w:r>
    </w:p>
    <w:p w14:paraId="3724D8E3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管理员可对课程内容持续维护，设置不同类型课程的完成规则，并通过审核流确保每门课程在正式发布前经过负责人确认。制度宣导类课程可设为"阅读确认即完成"；安全培训类课程可叠加"视频观看比例 + 考试通过"；课程</w:t>
      </w:r>
      <w:r>
        <w:rPr>
          <w:rFonts w:hint="eastAsia" w:eastAsia="Alibaba PuHuiTi 2.0" w:cs="Alibaba PuHuiTi 2.0"/>
          <w:color w:val="3D444A"/>
          <w:sz w:val="22"/>
          <w:lang w:val="en-US" w:eastAsia="zh-CN"/>
        </w:rPr>
        <w:t>章节分成选修/必修，都</w:t>
      </w:r>
      <w:r>
        <w:rPr>
          <w:rFonts w:ascii="Inter" w:hAnsi="Inter" w:eastAsia="Alibaba PuHuiTi 2.0" w:cs="Alibaba PuHuiTi 2.0"/>
          <w:color w:val="3D444A"/>
          <w:sz w:val="22"/>
        </w:rPr>
        <w:t>可</w:t>
      </w:r>
      <w:r>
        <w:rPr>
          <w:rFonts w:hint="eastAsia" w:eastAsia="Alibaba PuHuiTi 2.0" w:cs="Alibaba PuHuiTi 2.0"/>
          <w:color w:val="3D444A"/>
          <w:sz w:val="22"/>
          <w:lang w:val="en-US" w:eastAsia="zh-CN"/>
        </w:rPr>
        <w:t>添加</w:t>
      </w:r>
      <w:r>
        <w:rPr>
          <w:rFonts w:ascii="Inter" w:hAnsi="Inter" w:eastAsia="Alibaba PuHuiTi 2.0" w:cs="Alibaba PuHuiTi 2.0"/>
          <w:color w:val="3D444A"/>
          <w:sz w:val="22"/>
        </w:rPr>
        <w:t>"</w:t>
      </w:r>
      <w:r>
        <w:rPr>
          <w:rFonts w:hint="eastAsia" w:eastAsia="Alibaba PuHuiTi 2.0" w:cs="Alibaba PuHuiTi 2.0"/>
          <w:color w:val="3D444A"/>
          <w:sz w:val="22"/>
          <w:lang w:val="en-US" w:eastAsia="zh-CN"/>
        </w:rPr>
        <w:t>小测验+互动页面</w:t>
      </w:r>
      <w:r>
        <w:rPr>
          <w:rFonts w:ascii="Inter" w:hAnsi="Inter" w:eastAsia="Alibaba PuHuiTi 2.0" w:cs="Alibaba PuHuiTi 2.0"/>
          <w:color w:val="3D444A"/>
          <w:sz w:val="22"/>
        </w:rPr>
        <w:t>"；版本记录确保每次改动都有据可查</w:t>
      </w:r>
      <w:r>
        <w:rPr>
          <w:rFonts w:hint="eastAsia" w:eastAsia="Alibaba PuHuiTi 2.0" w:cs="Alibaba PuHuiTi 2.0"/>
          <w:color w:val="3D444A"/>
          <w:sz w:val="22"/>
          <w:lang w:eastAsia="zh-CN"/>
        </w:rPr>
        <w:t>，</w:t>
      </w:r>
      <w:r>
        <w:rPr>
          <w:rFonts w:hint="eastAsia" w:eastAsia="Alibaba PuHuiTi 2.0" w:cs="Alibaba PuHuiTi 2.0"/>
          <w:color w:val="3D444A"/>
          <w:sz w:val="22"/>
          <w:lang w:val="en-US" w:eastAsia="zh-CN"/>
        </w:rPr>
        <w:t>且不影响先前版本的学习任务</w:t>
      </w:r>
      <w:r>
        <w:rPr>
          <w:rFonts w:ascii="Inter" w:hAnsi="Inter" w:eastAsia="Alibaba PuHuiTi 2.0" w:cs="Alibaba PuHuiTi 2.0"/>
          <w:color w:val="3D444A"/>
          <w:sz w:val="22"/>
        </w:rPr>
        <w:t>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6"/>
        <w:gridCol w:w="6322"/>
      </w:tblGrid>
      <w:tr w14:paraId="3C5767F6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4341B66F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功能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7D058843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您将获得</w:t>
            </w:r>
          </w:p>
        </w:tc>
      </w:tr>
      <w:tr w14:paraId="6EAA2BEF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DE590BC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灵活的完成规则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39BF44C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按课程类型分别配置：阅读确认 / 视频观看比例 / 考试通过，不强迫所有课程走同一套标准</w:t>
            </w:r>
          </w:p>
        </w:tc>
      </w:tr>
      <w:tr w14:paraId="3943A0CA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3AB825ED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内容审核流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3047EE7A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课程正式发布前须经培训负责人审核，防止未授权内容</w:t>
            </w:r>
            <w:r>
              <w:rPr>
                <w:rFonts w:hint="eastAsia" w:eastAsia="Alibaba PuHuiTi 2.0" w:cs="Alibaba PuHuiTi 2.0"/>
                <w:color w:val="3D444A"/>
                <w:sz w:val="21"/>
                <w:lang w:val="en-US" w:eastAsia="zh-CN"/>
              </w:rPr>
              <w:t>失误发布到平台内部</w:t>
            </w:r>
          </w:p>
        </w:tc>
      </w:tr>
      <w:tr w14:paraId="219E502A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AB7B6AC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版本记录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0DD5543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每次发布形成版本留痕，历史版本可追溯，迎检时有完整内容变更依据</w:t>
            </w:r>
          </w:p>
        </w:tc>
      </w:tr>
      <w:tr w14:paraId="33CFF7AD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485340D">
            <w:pPr>
              <w:spacing w:before="80" w:after="80" w:line="240" w:lineRule="auto"/>
              <w:rPr>
                <w:rFonts w:hint="eastAsia" w:eastAsia="Alibaba PuHuiTi 2.0"/>
                <w:lang w:val="en-US" w:eastAsia="zh-CN"/>
              </w:rPr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AI 辅助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25E1E7F4">
            <w:pPr>
              <w:spacing w:before="80" w:after="80" w:line="240" w:lineRule="auto"/>
            </w:pPr>
            <w:r>
              <w:rPr>
                <w:rFonts w:hint="eastAsia" w:eastAsia="Alibaba PuHuiTi 2.0" w:cs="Alibaba PuHuiTi 2.0"/>
                <w:color w:val="3D444A"/>
                <w:sz w:val="21"/>
                <w:lang w:val="en-US" w:eastAsia="zh-CN"/>
              </w:rPr>
              <w:t>支持AI辅助生成知识点新建章节，</w:t>
            </w: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考试题目支持 AI 辅助生成，大幅降低题库维护工作量</w:t>
            </w:r>
          </w:p>
        </w:tc>
      </w:tr>
    </w:tbl>
    <w:p w14:paraId="07B8EE0B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3.2  课程部署</w:t>
      </w:r>
    </w:p>
    <w:p w14:paraId="323C9ECB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课程部署是让培训从"资源库"变成"执行任务"的关键。管理员按部门、岗位或人员维度分配课程，设置截止时间和提醒规则后，系统自动追踪每个人的完成进度——完成、逾期、考试结果怎样，全部实时可查，无需手工汇总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6"/>
        <w:gridCol w:w="6322"/>
      </w:tblGrid>
      <w:tr w14:paraId="04805584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4B080A6C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功能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70835DA6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您将获得</w:t>
            </w:r>
          </w:p>
        </w:tc>
      </w:tr>
      <w:tr w14:paraId="0320A73A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986BB8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灵活的分配方式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EFEB7F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支持按员工、部门、岗位、职能、班组多维度分配，一次操作覆盖目标人群</w:t>
            </w:r>
          </w:p>
        </w:tc>
      </w:tr>
      <w:tr w14:paraId="0908108C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08E53E5E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截止时间与提醒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2105B3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系统在临近截止时自动提醒未完成员工，逾期情况同步通知管理者</w:t>
            </w:r>
          </w:p>
        </w:tc>
      </w:tr>
      <w:tr w14:paraId="0F292D08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49E34BE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实时完成追踪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45B79B1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管理员随时查看当前部署的完成率、未完成人员清单与考试通过情况</w:t>
            </w:r>
          </w:p>
        </w:tc>
      </w:tr>
      <w:tr w14:paraId="4F9548A7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0AE881FA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部署历史存档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2161A1B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每次培训的对象、版本、完成情况</w:t>
            </w:r>
            <w:r>
              <w:rPr>
                <w:rFonts w:hint="eastAsia" w:eastAsia="Alibaba PuHuiTi 2.0" w:cs="Alibaba PuHuiTi 2.0"/>
                <w:color w:val="3D444A"/>
                <w:sz w:val="21"/>
                <w:lang w:val="en-US" w:eastAsia="zh-CN"/>
              </w:rPr>
              <w:t>可以配置一定期间内</w:t>
            </w: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留存，支持年度培训复盘与审查</w:t>
            </w:r>
          </w:p>
        </w:tc>
      </w:tr>
    </w:tbl>
    <w:p w14:paraId="5A397814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3.3  正负积分体系</w:t>
      </w:r>
    </w:p>
    <w:p w14:paraId="3BDADC1A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积分体系以数据化方式建立轻量级激励和约束，代替反复的行政催促。完成课程自动加分，逾期自动扣分，每一笔积分流水都有明细可查——员工看得到自己的表现，管理者看得到团队的整体参</w:t>
      </w:r>
      <w:bookmarkStart w:id="0" w:name="_GoBack"/>
      <w:bookmarkEnd w:id="0"/>
      <w:r>
        <w:rPr>
          <w:rFonts w:ascii="Inter" w:hAnsi="Inter" w:eastAsia="Alibaba PuHuiTi 2.0" w:cs="Alibaba PuHuiTi 2.0"/>
          <w:color w:val="3D444A"/>
          <w:sz w:val="22"/>
        </w:rPr>
        <w:t>与度。后续如有需要，积分数据可直接扩展为学习排行榜或年度激励评选的依据。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3"/>
        <w:gridCol w:w="3301"/>
        <w:gridCol w:w="2754"/>
      </w:tblGrid>
      <w:tr w14:paraId="00DCD106">
        <w:trPr>
          <w:jc w:val="center"/>
        </w:trPr>
        <w:tc>
          <w:tcPr>
            <w:tcW w:w="255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2B20CBD3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积分规则</w:t>
            </w:r>
          </w:p>
        </w:tc>
        <w:tc>
          <w:tcPr>
            <w:tcW w:w="340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71184D87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员工视角</w:t>
            </w:r>
          </w:p>
        </w:tc>
        <w:tc>
          <w:tcPr>
            <w:tcW w:w="283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214C534F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管理者视角</w:t>
            </w:r>
          </w:p>
        </w:tc>
      </w:tr>
      <w:tr w14:paraId="6698C692">
        <w:trPr>
          <w:jc w:val="center"/>
        </w:trPr>
        <w:tc>
          <w:tcPr>
            <w:tcW w:w="255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042C753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完成课程 / 考试通过</w:t>
            </w:r>
          </w:p>
        </w:tc>
        <w:tc>
          <w:tcPr>
            <w:tcW w:w="340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5C221B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个人积分实时增加，可查看积分明细</w:t>
            </w:r>
          </w:p>
        </w:tc>
        <w:tc>
          <w:tcPr>
            <w:tcW w:w="283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473D137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整体参与度提升，无需反复催促</w:t>
            </w:r>
          </w:p>
        </w:tc>
      </w:tr>
      <w:tr w14:paraId="4906FCF1">
        <w:trPr>
          <w:jc w:val="center"/>
        </w:trPr>
        <w:tc>
          <w:tcPr>
            <w:tcW w:w="255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4CD67468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课程逾期 / 考试未过</w:t>
            </w:r>
          </w:p>
        </w:tc>
        <w:tc>
          <w:tcPr>
            <w:tcW w:w="340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61FFEA99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收到系统提示，清楚了解扣分原因</w:t>
            </w:r>
          </w:p>
        </w:tc>
        <w:tc>
          <w:tcPr>
            <w:tcW w:w="283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209779C4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逾期记录可导出，支持部门绩效参考</w:t>
            </w:r>
          </w:p>
        </w:tc>
      </w:tr>
      <w:tr w14:paraId="6CC9BC4F">
        <w:trPr>
          <w:jc w:val="center"/>
        </w:trPr>
        <w:tc>
          <w:tcPr>
            <w:tcW w:w="255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288DF54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活动奖励 / 人工调整</w:t>
            </w:r>
          </w:p>
        </w:tc>
        <w:tc>
          <w:tcPr>
            <w:tcW w:w="340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80EB9FA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积分变动有通知，透明公正</w:t>
            </w:r>
          </w:p>
        </w:tc>
        <w:tc>
          <w:tcPr>
            <w:tcW w:w="283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300D49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管理端可补发或纠错，全程留审计日志</w:t>
            </w:r>
          </w:p>
        </w:tc>
      </w:tr>
    </w:tbl>
    <w:p w14:paraId="22CB784C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3.4  视频培训</w:t>
      </w:r>
    </w:p>
    <w:p w14:paraId="5F2DF59E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管理员可在课程章节中上传操作规程、安全培训演示或设备维护视频，员工通过 PC 或手机浏览器在线观看。系统实时记录每位员工的观看进度，可配置"观看达到指定比例方可完成课程"，确保视频培训留有真实记录而非仅标注已观看。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6"/>
        <w:gridCol w:w="6322"/>
      </w:tblGrid>
      <w:tr w14:paraId="01DE90F3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4C953F23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功能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0D10D77B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您将获得</w:t>
            </w:r>
          </w:p>
        </w:tc>
      </w:tr>
      <w:tr w14:paraId="03F5D6C7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96FB24A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在线上传与播放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6114ACF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视频直接上传至课程，员工无需下载，PC/手机浏览器均可播放</w:t>
            </w:r>
          </w:p>
        </w:tc>
      </w:tr>
      <w:tr w14:paraId="20B2F1C5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00AC50C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断点续播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940CC64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员工上次观看到哪里，下次自动从断点继续，不影响碎片化学习</w:t>
            </w:r>
          </w:p>
        </w:tc>
      </w:tr>
      <w:tr w14:paraId="59017E43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538BF38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观看进度记录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198B789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系统记录实际观看比例，课程完成判断基于真实数据而非点击记录</w:t>
            </w:r>
          </w:p>
        </w:tc>
      </w:tr>
      <w:tr w14:paraId="181E560B">
        <w:trPr>
          <w:jc w:val="center"/>
        </w:trPr>
        <w:tc>
          <w:tcPr>
            <w:tcW w:w="226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C1BE7AD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播放控制</w:t>
            </w:r>
          </w:p>
        </w:tc>
        <w:tc>
          <w:tcPr>
            <w:tcW w:w="6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6951F7F3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可配置是否允许拖拽进度条，防止员工跳过关键内容直接标记完成</w:t>
            </w:r>
          </w:p>
        </w:tc>
      </w:tr>
    </w:tbl>
    <w:p w14:paraId="5F055393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3.5  培训矩阵</w:t>
      </w:r>
    </w:p>
    <w:p w14:paraId="39B8EA7F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培训矩阵解决的是"每次想了解培训覆盖情况，都要从头拉数据、手工处理 Excel"的问题。它是一张始终在线、实时更新的全员培训视图，管理者可以按部门、岗位或培训状态快速筛选，一眼定位需要关注的人员或课程，并支持一键导出。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5"/>
        <w:gridCol w:w="4502"/>
        <w:gridCol w:w="2481"/>
      </w:tblGrid>
      <w:tr w14:paraId="1D1ABDA5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1ECF6A9A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视角</w:t>
            </w:r>
          </w:p>
        </w:tc>
        <w:tc>
          <w:tcPr>
            <w:tcW w:w="4649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271855DC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可以看到什么</w:t>
            </w:r>
          </w:p>
        </w:tc>
        <w:tc>
          <w:tcPr>
            <w:tcW w:w="255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5E24DB53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典型场景</w:t>
            </w:r>
          </w:p>
        </w:tc>
      </w:tr>
      <w:tr w14:paraId="31CC1CB7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11A5886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员工个人</w:t>
            </w:r>
          </w:p>
        </w:tc>
        <w:tc>
          <w:tcPr>
            <w:tcW w:w="4649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BACC7B8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已完成哪些课程、还有哪些未完成、当前积分</w:t>
            </w:r>
          </w:p>
        </w:tc>
        <w:tc>
          <w:tcPr>
            <w:tcW w:w="255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E04A0C4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员工自主了解学习任务进度</w:t>
            </w:r>
          </w:p>
        </w:tc>
      </w:tr>
      <w:tr w14:paraId="6FF4A9A7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DAFB4CE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部门负责人</w:t>
            </w:r>
          </w:p>
        </w:tc>
        <w:tc>
          <w:tcPr>
            <w:tcW w:w="4649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A85E57D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本部门完成率、逾期人数、课程通过率</w:t>
            </w:r>
          </w:p>
        </w:tc>
        <w:tc>
          <w:tcPr>
            <w:tcW w:w="255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DBD4C68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月度培训汇报，无需手工统计</w:t>
            </w:r>
          </w:p>
        </w:tc>
      </w:tr>
      <w:tr w14:paraId="7C16BFB7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A87EC8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培训管理者</w:t>
            </w:r>
          </w:p>
        </w:tc>
        <w:tc>
          <w:tcPr>
            <w:tcW w:w="4649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1548F82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跨部门/岗位的完成缺口、课程执行效果对比</w:t>
            </w:r>
          </w:p>
        </w:tc>
        <w:tc>
          <w:tcPr>
            <w:tcW w:w="255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AD218A9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安全检查前快速准备培训台账</w:t>
            </w:r>
          </w:p>
        </w:tc>
      </w:tr>
    </w:tbl>
    <w:p w14:paraId="1BB00DC1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3.6  学习过程监督</w:t>
      </w:r>
    </w:p>
    <w:p w14:paraId="08EC7DB4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系统通过轻量化机制提升学习的真实性：长时间无操作时弹出确认提示，页面切出时记录次数，视频进度不允许跳过未观看部分。所有过程行为均有记录，管理员可查看每位员工的学习时长和操作情况。这些机制不涉及摄像头或隐私采集，仅从行为层面保障培训数据的可信度与审计价值。</w:t>
      </w:r>
    </w:p>
    <w:p w14:paraId="0C61B60D">
      <w:pPr>
        <w:pBdr>
          <w:left w:val="single" w:color="3EC99E" w:sz="24" w:space="12"/>
        </w:pBdr>
        <w:shd w:val="clear" w:color="auto" w:fill="F2F3F5"/>
        <w:spacing w:before="80" w:after="80"/>
        <w:ind w:left="160" w:right="160"/>
      </w:pPr>
      <w:r>
        <w:rPr>
          <w:rFonts w:ascii="Inter" w:hAnsi="Inter" w:eastAsia="Alibaba PuHuiTi 2.0" w:cs="Alibaba PuHuiTi 2.0"/>
          <w:b/>
          <w:color w:val="3EC99E"/>
          <w:sz w:val="19"/>
        </w:rPr>
        <w:t xml:space="preserve">管理价值  </w:t>
      </w:r>
      <w:r>
        <w:rPr>
          <w:rFonts w:ascii="Inter" w:hAnsi="Inter" w:eastAsia="Alibaba PuHuiTi 2.0" w:cs="Alibaba PuHuiTi 2.0"/>
          <w:color w:val="8A9199"/>
          <w:sz w:val="19"/>
        </w:rPr>
        <w:t>培训记录的可信度越高，其作为安全合规台账或 ESG 培训数据的证明力越强。</w:t>
      </w:r>
    </w:p>
    <w:p w14:paraId="6644B862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3.7  数据统计与台账</w:t>
      </w:r>
    </w:p>
    <w:p w14:paraId="5D9AFB40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平台将课程完成、考试结果、积分变动、视频观看记录统一汇聚，支持按员工、部门、岗位或时间段多维度导出。无论是月度内部汇报、年度安全培训统计，还是迎接政府安全检查或 ISO 审核，都能在几分钟内生成一份完整的数字台账。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5"/>
        <w:gridCol w:w="6213"/>
      </w:tblGrid>
      <w:tr w14:paraId="22E7FB75">
        <w:trPr>
          <w:jc w:val="center"/>
        </w:trPr>
        <w:tc>
          <w:tcPr>
            <w:tcW w:w="238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46FE07A6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报表类型</w:t>
            </w:r>
          </w:p>
        </w:tc>
        <w:tc>
          <w:tcPr>
            <w:tcW w:w="640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1503D22E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典型用途</w:t>
            </w:r>
          </w:p>
        </w:tc>
      </w:tr>
      <w:tr w14:paraId="2E9C75D5">
        <w:trPr>
          <w:jc w:val="center"/>
        </w:trPr>
        <w:tc>
          <w:tcPr>
            <w:tcW w:w="238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363C66A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培训完成报表</w:t>
            </w:r>
          </w:p>
        </w:tc>
        <w:tc>
          <w:tcPr>
            <w:tcW w:w="640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805951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日常执行管理；按部门/岗位汇总完成率，快速定位缺口</w:t>
            </w:r>
          </w:p>
        </w:tc>
      </w:tr>
      <w:tr w14:paraId="56D6E9AF">
        <w:trPr>
          <w:jc w:val="center"/>
        </w:trPr>
        <w:tc>
          <w:tcPr>
            <w:tcW w:w="238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B1A3777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考试结果报表</w:t>
            </w:r>
          </w:p>
        </w:tc>
        <w:tc>
          <w:tcPr>
            <w:tcW w:w="640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1B6E742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评估学习效果；识别需要补训的员工</w:t>
            </w:r>
          </w:p>
        </w:tc>
      </w:tr>
      <w:tr w14:paraId="2C143959">
        <w:trPr>
          <w:jc w:val="center"/>
        </w:trPr>
        <w:tc>
          <w:tcPr>
            <w:tcW w:w="238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6D461AD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积分明细报表</w:t>
            </w:r>
          </w:p>
        </w:tc>
        <w:tc>
          <w:tcPr>
            <w:tcW w:w="640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BCF80A1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积分核查与管理复核；支持绩效参考数据导出</w:t>
            </w:r>
          </w:p>
        </w:tc>
      </w:tr>
      <w:tr w14:paraId="7AD049F4">
        <w:trPr>
          <w:jc w:val="center"/>
        </w:trPr>
        <w:tc>
          <w:tcPr>
            <w:tcW w:w="238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2762F5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视频学习记录</w:t>
            </w:r>
          </w:p>
        </w:tc>
        <w:tc>
          <w:tcPr>
            <w:tcW w:w="640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76C6D91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视频课程完成判断依据；满足合规留痕要求</w:t>
            </w:r>
          </w:p>
        </w:tc>
      </w:tr>
      <w:tr w14:paraId="39651432">
        <w:trPr>
          <w:jc w:val="center"/>
        </w:trPr>
        <w:tc>
          <w:tcPr>
            <w:tcW w:w="238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96E641C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培训台账导出</w:t>
            </w:r>
          </w:p>
        </w:tc>
        <w:tc>
          <w:tcPr>
            <w:tcW w:w="640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3F5AF97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迎检备查；ESG 培训覆盖数据出口；年度培训统计</w:t>
            </w:r>
          </w:p>
        </w:tc>
      </w:tr>
    </w:tbl>
    <w:p w14:paraId="762CEB66"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四、我们的承诺</w:t>
      </w:r>
    </w:p>
    <w:p w14:paraId="0095827E">
      <w:pPr>
        <w:spacing w:before="160" w:after="80"/>
      </w:pPr>
      <w:r>
        <w:rPr>
          <w:rFonts w:ascii="Inter" w:hAnsi="Inter" w:eastAsia="Alibaba PuHuiTi 2.0" w:cs="Alibaba PuHuiTi 2.0"/>
          <w:b/>
          <w:color w:val="3EC99E"/>
          <w:sz w:val="36"/>
        </w:rPr>
        <w:t>4.1  交付确定性</w:t>
      </w:r>
    </w:p>
    <w:p w14:paraId="6C5AB9AE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项目启动前与贵司共同确认功能边界和验收标准，写入合同，不留模糊空间。</w:t>
      </w:r>
    </w:p>
    <w:p w14:paraId="01C862E4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每周固定同步进度与待确认事项，贵司无需主动追问开发状态。</w:t>
      </w:r>
    </w:p>
    <w:p w14:paraId="060E9947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上线后 30 天内发现的功能问题免费修复，无附加条件。</w:t>
      </w:r>
    </w:p>
    <w:p w14:paraId="796A043C">
      <w:pPr>
        <w:spacing w:before="160" w:after="80"/>
      </w:pPr>
      <w:r>
        <w:rPr>
          <w:rFonts w:ascii="Inter" w:hAnsi="Inter" w:eastAsia="Alibaba PuHuiTi 2.0" w:cs="Alibaba PuHuiTi 2.0"/>
          <w:b/>
          <w:color w:val="3EC99E"/>
          <w:sz w:val="36"/>
        </w:rPr>
        <w:t>4.2  使用门槛低</w:t>
      </w:r>
    </w:p>
    <w:p w14:paraId="0F5B560D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提供完整操作手册与管理员使用培训，团队当天上手，无需 IT 介入日常操作。</w:t>
      </w:r>
    </w:p>
    <w:p w14:paraId="37054A72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提供学员端使用演示，降低员工接受新工具的阻力。</w:t>
      </w:r>
    </w:p>
    <w:p w14:paraId="6C72AFCB">
      <w:pPr>
        <w:spacing w:before="160" w:after="80"/>
      </w:pPr>
      <w:r>
        <w:rPr>
          <w:rFonts w:ascii="Inter" w:hAnsi="Inter" w:eastAsia="Alibaba PuHuiTi 2.0" w:cs="Alibaba PuHuiTi 2.0"/>
          <w:b/>
          <w:color w:val="3EC99E"/>
          <w:sz w:val="36"/>
        </w:rPr>
        <w:t>4.3  可持续扩展</w:t>
      </w:r>
    </w:p>
    <w:p w14:paraId="27C1D85F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本期建立的数据基础可平滑扩展：积分商城、岗位风险课程匹配、AI 课件生成均可后续按需添加。</w:t>
      </w:r>
    </w:p>
    <w:p w14:paraId="64733D59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与贵司现有 HRMS（SAP/Workday）的组织架构同步接口预留成本极低，随时可接入。</w:t>
      </w:r>
    </w:p>
    <w:p w14:paraId="12B88D33">
      <w:pPr>
        <w:pBdr>
          <w:left w:val="single" w:color="3EC99E" w:sz="24" w:space="12"/>
        </w:pBdr>
        <w:shd w:val="clear" w:color="auto" w:fill="F2F3F5"/>
        <w:spacing w:before="80" w:after="80"/>
        <w:ind w:left="160" w:right="160"/>
      </w:pPr>
      <w:r>
        <w:rPr>
          <w:rFonts w:ascii="Inter" w:hAnsi="Inter" w:eastAsia="Alibaba PuHuiTi 2.0" w:cs="Alibaba PuHuiTi 2.0"/>
          <w:b/>
          <w:color w:val="3EC99E"/>
          <w:sz w:val="19"/>
        </w:rPr>
        <w:t xml:space="preserve">合作理念  </w:t>
      </w:r>
      <w:r>
        <w:rPr>
          <w:rFonts w:ascii="Inter" w:hAnsi="Inter" w:eastAsia="Alibaba PuHuiTi 2.0" w:cs="Alibaba PuHuiTi 2.0"/>
          <w:color w:val="8A9199"/>
          <w:sz w:val="19"/>
        </w:rPr>
        <w:t>我们希望成为贵司培训数字化的长期伙伴，而不只是一次项目交付。</w:t>
      </w:r>
    </w:p>
    <w:p w14:paraId="2CA48EEF"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五、实施计划</w:t>
      </w:r>
    </w:p>
    <w:p w14:paraId="74F7F320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标准版建设周期约 8 周，按以下五个阶段推进：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892"/>
        <w:gridCol w:w="4272"/>
        <w:gridCol w:w="2149"/>
      </w:tblGrid>
      <w:tr w14:paraId="3F509BA3">
        <w:trPr>
          <w:jc w:val="center"/>
        </w:trPr>
        <w:tc>
          <w:tcPr>
            <w:tcW w:w="124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283AFBF7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阶段</w:t>
            </w:r>
          </w:p>
        </w:tc>
        <w:tc>
          <w:tcPr>
            <w:tcW w:w="90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063D6965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周次</w:t>
            </w:r>
          </w:p>
        </w:tc>
        <w:tc>
          <w:tcPr>
            <w:tcW w:w="442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3122D5B7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主要工作</w:t>
            </w:r>
          </w:p>
        </w:tc>
        <w:tc>
          <w:tcPr>
            <w:tcW w:w="221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5467B2D5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交付物</w:t>
            </w:r>
          </w:p>
        </w:tc>
      </w:tr>
      <w:tr w14:paraId="6147A83C">
        <w:trPr>
          <w:jc w:val="center"/>
        </w:trPr>
        <w:tc>
          <w:tcPr>
            <w:tcW w:w="124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7222DE2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需求确认</w:t>
            </w:r>
          </w:p>
        </w:tc>
        <w:tc>
          <w:tcPr>
            <w:tcW w:w="90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10BBC1A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第 1 周</w:t>
            </w:r>
          </w:p>
        </w:tc>
        <w:tc>
          <w:tcPr>
            <w:tcW w:w="442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0489AC1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确认功能范围、角色权限、组织数据结构与验收口径</w:t>
            </w:r>
          </w:p>
        </w:tc>
        <w:tc>
          <w:tcPr>
            <w:tcW w:w="221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2D12697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需求清单、项目计划</w:t>
            </w:r>
          </w:p>
        </w:tc>
      </w:tr>
      <w:tr w14:paraId="5E85E7F3">
        <w:trPr>
          <w:jc w:val="center"/>
        </w:trPr>
        <w:tc>
          <w:tcPr>
            <w:tcW w:w="124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DBB5957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原型设计</w:t>
            </w:r>
          </w:p>
        </w:tc>
        <w:tc>
          <w:tcPr>
            <w:tcW w:w="90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B3DED8D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第 2 周</w:t>
            </w:r>
          </w:p>
        </w:tc>
        <w:tc>
          <w:tcPr>
            <w:tcW w:w="442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0BA0317A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完成主要页面原型，双方评审确认，避免开发阶段返工</w:t>
            </w:r>
          </w:p>
        </w:tc>
        <w:tc>
          <w:tcPr>
            <w:tcW w:w="221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3E76D0CF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页面原型、功能说明</w:t>
            </w:r>
          </w:p>
        </w:tc>
      </w:tr>
      <w:tr w14:paraId="1B9AFAA5">
        <w:trPr>
          <w:jc w:val="center"/>
        </w:trPr>
        <w:tc>
          <w:tcPr>
            <w:tcW w:w="124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41BCEE1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功能开发</w:t>
            </w:r>
          </w:p>
        </w:tc>
        <w:tc>
          <w:tcPr>
            <w:tcW w:w="90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F2639F1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第 3–6 周</w:t>
            </w:r>
          </w:p>
        </w:tc>
        <w:tc>
          <w:tcPr>
            <w:tcW w:w="442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68EABB1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开发七大功能模块，每周同步进度</w:t>
            </w:r>
          </w:p>
        </w:tc>
        <w:tc>
          <w:tcPr>
            <w:tcW w:w="221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E8E0CD6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可联调功能版本</w:t>
            </w:r>
          </w:p>
        </w:tc>
      </w:tr>
      <w:tr w14:paraId="7E4A3F93">
        <w:trPr>
          <w:jc w:val="center"/>
        </w:trPr>
        <w:tc>
          <w:tcPr>
            <w:tcW w:w="124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0FF15473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测试</w:t>
            </w:r>
          </w:p>
        </w:tc>
        <w:tc>
          <w:tcPr>
            <w:tcW w:w="90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4F49A002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第 7 周</w:t>
            </w:r>
          </w:p>
        </w:tc>
        <w:tc>
          <w:tcPr>
            <w:tcW w:w="442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4003CC8F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功能测试、权限测试、报表导出测试；问题修复</w:t>
            </w:r>
          </w:p>
        </w:tc>
        <w:tc>
          <w:tcPr>
            <w:tcW w:w="221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E27C772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测试记录、修复清单</w:t>
            </w:r>
          </w:p>
        </w:tc>
      </w:tr>
      <w:tr w14:paraId="1F81B8B4">
        <w:trPr>
          <w:jc w:val="center"/>
        </w:trPr>
        <w:tc>
          <w:tcPr>
            <w:tcW w:w="124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A499B5C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上线验收</w:t>
            </w:r>
          </w:p>
        </w:tc>
        <w:tc>
          <w:tcPr>
            <w:tcW w:w="90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68A3A62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第 8 周</w:t>
            </w:r>
          </w:p>
        </w:tc>
        <w:tc>
          <w:tcPr>
            <w:tcW w:w="442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C561CD1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贵司试用验收、管理员培训、交付操作手册</w:t>
            </w:r>
          </w:p>
        </w:tc>
        <w:tc>
          <w:tcPr>
            <w:tcW w:w="221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B44E58F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验收版本、操作手册</w:t>
            </w:r>
          </w:p>
        </w:tc>
      </w:tr>
    </w:tbl>
    <w:p w14:paraId="65950EB1"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六、下一步行动</w:t>
      </w:r>
    </w:p>
    <w:p w14:paraId="598E2294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如贵司对本方案认可，建议通过以下三步推进：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0"/>
        <w:gridCol w:w="5486"/>
        <w:gridCol w:w="2092"/>
      </w:tblGrid>
      <w:tr w14:paraId="342D7F4A">
        <w:trPr>
          <w:jc w:val="center"/>
        </w:trPr>
        <w:tc>
          <w:tcPr>
            <w:tcW w:w="96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63DB69C0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步骤</w:t>
            </w:r>
          </w:p>
        </w:tc>
        <w:tc>
          <w:tcPr>
            <w:tcW w:w="5669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555D4499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动作</w:t>
            </w:r>
          </w:p>
        </w:tc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23BC0E6C">
            <w:pPr>
              <w:spacing w:before="100" w:after="100" w:line="240" w:lineRule="auto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20"/>
              </w:rPr>
              <w:t>建议时间</w:t>
            </w:r>
          </w:p>
        </w:tc>
      </w:tr>
      <w:tr w14:paraId="6EE223FF">
        <w:trPr>
          <w:jc w:val="center"/>
        </w:trPr>
        <w:tc>
          <w:tcPr>
            <w:tcW w:w="96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0F5E819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Step 1</w:t>
            </w:r>
          </w:p>
        </w:tc>
        <w:tc>
          <w:tcPr>
            <w:tcW w:w="5669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1E1D2AB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安排 1 小时范围确认会议，逐项对齐功能细节与预算范围</w:t>
            </w:r>
          </w:p>
        </w:tc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B96A3EE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建议 1 周内</w:t>
            </w:r>
          </w:p>
        </w:tc>
      </w:tr>
      <w:tr w14:paraId="4E549F33">
        <w:trPr>
          <w:jc w:val="center"/>
        </w:trPr>
        <w:tc>
          <w:tcPr>
            <w:tcW w:w="96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07AC6866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Step 2</w:t>
            </w:r>
          </w:p>
        </w:tc>
        <w:tc>
          <w:tcPr>
            <w:tcW w:w="5669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CDD9333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基于确认范围出具正式报价，双方签署合作协议</w:t>
            </w:r>
          </w:p>
        </w:tc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F756D1C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建议 2 周内</w:t>
            </w:r>
          </w:p>
        </w:tc>
      </w:tr>
      <w:tr w14:paraId="45B9AC4F">
        <w:trPr>
          <w:jc w:val="center"/>
        </w:trPr>
        <w:tc>
          <w:tcPr>
            <w:tcW w:w="96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FFD1F6E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Step 3</w:t>
            </w:r>
          </w:p>
        </w:tc>
        <w:tc>
          <w:tcPr>
            <w:tcW w:w="5669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BD0548F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项目正式启动，提交项目计划与第一版原型</w:t>
            </w:r>
          </w:p>
        </w:tc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6BE0653">
            <w:pPr>
              <w:spacing w:before="80" w:after="80" w:line="240" w:lineRule="auto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签约后 1 周</w:t>
            </w:r>
          </w:p>
        </w:tc>
      </w:tr>
    </w:tbl>
    <w:p w14:paraId="55EC0B00"/>
    <w:p w14:paraId="0F9B2DE8">
      <w:pPr>
        <w:pBdr>
          <w:left w:val="single" w:color="3EC99E" w:sz="24" w:space="12"/>
        </w:pBdr>
        <w:shd w:val="clear" w:color="auto" w:fill="F2F3F5"/>
        <w:spacing w:before="80" w:after="80"/>
        <w:ind w:left="160" w:right="160"/>
      </w:pPr>
      <w:r>
        <w:rPr>
          <w:rFonts w:ascii="Inter" w:hAnsi="Inter" w:eastAsia="Alibaba PuHuiTi 2.0" w:cs="Alibaba PuHuiTi 2.0"/>
          <w:b/>
          <w:color w:val="3EC99E"/>
          <w:sz w:val="19"/>
        </w:rPr>
        <w:t xml:space="preserve">联系我们  </w:t>
      </w:r>
      <w:r>
        <w:rPr>
          <w:rFonts w:ascii="Inter" w:hAnsi="Inter" w:eastAsia="Alibaba PuHuiTi 2.0" w:cs="Alibaba PuHuiTi 2.0"/>
          <w:color w:val="8A9199"/>
          <w:sz w:val="19"/>
        </w:rPr>
        <w:t>我们已为 Vesuvius 中国区预留了专项资源，欢迎随时安排平台演示或技术对话。期待与贵团队开始这段合作。</w:t>
      </w:r>
    </w:p>
    <w:p w14:paraId="207128CB"/>
    <w:p w14:paraId="2DA56870"/>
    <w:p w14:paraId="080FFC3E"/>
    <w:p w14:paraId="6B40DB23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4"/>
        <w:gridCol w:w="4264"/>
      </w:tblGrid>
      <w:tr w14:paraId="5375789F">
        <w:trPr>
          <w:jc w:val="center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6392CAC2"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公司名称：未来方舟（上海）科技有限公司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5C1AA778">
            <w:pPr>
              <w:spacing w:before="100" w:after="100"/>
            </w:pPr>
          </w:p>
        </w:tc>
      </w:tr>
      <w:tr w14:paraId="76DE3D3D">
        <w:trPr>
          <w:jc w:val="center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1E02666B"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授权签字：＿＿＿＿＿＿＿＿＿＿＿＿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44549497"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公司盖章：（公章）</w:t>
            </w:r>
          </w:p>
        </w:tc>
      </w:tr>
      <w:tr w14:paraId="11F7D586">
        <w:trPr>
          <w:jc w:val="center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5961A028"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出具日期：     年      月      日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35DB5891">
            <w:pPr>
              <w:spacing w:before="100" w:after="100"/>
            </w:pPr>
          </w:p>
        </w:tc>
      </w:tr>
    </w:tbl>
    <w:p w14:paraId="39CA5169"/>
    <w:sectPr>
      <w:headerReference r:id="rId5" w:type="default"/>
      <w:footerReference r:id="rId6" w:type="default"/>
      <w:pgSz w:w="11906" w:h="16838"/>
      <w:pgMar w:top="1440" w:right="1797" w:bottom="1440" w:left="1797" w:header="567" w:footer="45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nte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libaba PuHuiTi 2.0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jc w:val="center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260"/>
      <w:gridCol w:w="4268"/>
    </w:tblGrid>
    <w:tr w14:paraId="7B0DF522">
      <w:trPr>
        <w:jc w:val="center"/>
      </w:trPr>
      <w:tc>
        <w:tcPr>
          <w:tcW w:w="4394" w:type="dxa"/>
          <w:tcBorders>
            <w:top w:val="single" w:color="D0D5DD" w:sz="4" w:space="0"/>
            <w:left w:val="nil"/>
            <w:bottom w:val="nil"/>
            <w:right w:val="nil"/>
          </w:tcBorders>
        </w:tcPr>
        <w:p w14:paraId="72A9FB05">
          <w:pPr>
            <w:spacing w:before="60"/>
          </w:pPr>
          <w:r>
            <w:rPr>
              <w:rFonts w:ascii="Inter" w:hAnsi="Inter" w:eastAsia="PingFang SC"/>
              <w:color w:val="8A9199"/>
              <w:sz w:val="16"/>
            </w:rPr>
            <w:t>未来方舟（上海）科技有限公司</w:t>
          </w:r>
        </w:p>
      </w:tc>
      <w:tc>
        <w:tcPr>
          <w:tcW w:w="4394" w:type="dxa"/>
          <w:tcBorders>
            <w:top w:val="single" w:color="D0D5DD" w:sz="4" w:space="0"/>
            <w:left w:val="nil"/>
            <w:bottom w:val="nil"/>
            <w:right w:val="nil"/>
          </w:tcBorders>
        </w:tcPr>
        <w:p w14:paraId="2B776E6C">
          <w:pPr>
            <w:spacing w:before="60"/>
            <w:jc w:val="right"/>
          </w:pPr>
          <w:r>
            <w:rPr>
              <w:rFonts w:ascii="Inter" w:hAnsi="Inter" w:eastAsia="PingFang SC"/>
              <w:i/>
              <w:color w:val="8A9199"/>
              <w:sz w:val="15"/>
            </w:rPr>
            <w:t>机密文件 · 仅供 Vesuvius 中国区内部参阅</w:t>
          </w:r>
        </w:p>
      </w:tc>
    </w:tr>
  </w:tbl>
  <w:p w14:paraId="7776729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jc w:val="center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078"/>
      <w:gridCol w:w="2450"/>
    </w:tblGrid>
    <w:tr w14:paraId="6B21E740">
      <w:trPr>
        <w:jc w:val="center"/>
      </w:trPr>
      <w:tc>
        <w:tcPr>
          <w:tcW w:w="6236" w:type="dxa"/>
          <w:tcBorders>
            <w:top w:val="nil"/>
            <w:left w:val="nil"/>
            <w:bottom w:val="single" w:color="3EC99E" w:sz="6" w:space="0"/>
            <w:right w:val="nil"/>
          </w:tcBorders>
          <w:vAlign w:val="center"/>
        </w:tcPr>
        <w:p w14:paraId="003BD7FA">
          <w:pPr>
            <w:spacing w:before="0" w:after="0"/>
            <w:jc w:val="left"/>
            <w:rPr>
              <w:rFonts w:hint="eastAsia" w:eastAsia="SimSun"/>
              <w:lang w:eastAsia="zh-CN"/>
            </w:rPr>
          </w:pPr>
          <w:r>
            <w:rPr>
              <w:rFonts w:hint="eastAsia" w:eastAsia="SimSun"/>
              <w:lang w:eastAsia="zh-CN"/>
            </w:rPr>
            <w:drawing>
              <wp:inline distT="0" distB="0" distL="114300" distR="114300">
                <wp:extent cx="1675130" cy="424815"/>
                <wp:effectExtent l="0" t="0" r="0" b="0"/>
                <wp:docPr id="3" name="Picture 3" descr="logo-horizontal-prima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logo-horizontal-primary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5130" cy="424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1" w:type="dxa"/>
          <w:tcBorders>
            <w:top w:val="nil"/>
            <w:left w:val="nil"/>
            <w:bottom w:val="single" w:color="3EC99E" w:sz="6" w:space="0"/>
            <w:right w:val="nil"/>
          </w:tcBorders>
          <w:vAlign w:val="center"/>
        </w:tcPr>
        <w:p w14:paraId="21715E7B">
          <w:pPr>
            <w:spacing w:before="100"/>
            <w:jc w:val="right"/>
          </w:pPr>
          <w:r>
            <w:rPr>
              <w:rFonts w:ascii="Inter" w:hAnsi="Inter" w:eastAsia="PingFang SC"/>
              <w:color w:val="8A9199"/>
              <w:sz w:val="16"/>
            </w:rPr>
            <w:t>解决方案建议书</w:t>
          </w:r>
        </w:p>
      </w:tc>
    </w:tr>
  </w:tbl>
  <w:p w14:paraId="63DDE5C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95BCA605"/>
    <w:rsid w:val="9F32F105"/>
    <w:rsid w:val="AECBB32E"/>
    <w:rsid w:val="B357705C"/>
    <w:rsid w:val="F7FF216E"/>
    <w:rsid w:val="FACB4DCC"/>
    <w:rsid w:val="FEE7F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Inter" w:hAnsi="Inter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hid32130272</cp:lastModifiedBy>
  <dcterms:modified xsi:type="dcterms:W3CDTF">2026-06-10T10:50:01Z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B00900DDA1F4CDF042E9276AEA0A8F38_42</vt:lpwstr>
  </property>
</Properties>
</file>