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566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</w:tcPr>
          <w:p>
            <w:pPr>
              <w:spacing w:before="0" w:after="0"/>
            </w:pPr>
            <w:r>
              <w:rPr>
                <w:rFonts w:ascii="Inter" w:hAnsi="Inter" w:eastAsia="Alibaba PuHuiTi 2.0" w:cs="Alibaba PuHuiTi 2.0"/>
                <w:color w:val="8A9199"/>
                <w:sz w:val="16"/>
              </w:rPr>
              <w:t>S O L U T I O N   P R O P O S A L</w:t>
            </w:r>
          </w:p>
        </w:tc>
        <w:tc>
          <w:tcPr>
            <w:tcW w:type="dxa" w:w="3118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</w:tcPr>
          <w:p>
            <w:pPr>
              <w:spacing w:before="0" w:after="0"/>
              <w:jc w:val="right"/>
            </w:pPr>
            <w:r>
              <w:rPr>
                <w:rFonts w:ascii="Inter" w:hAnsi="Inter" w:eastAsia="Alibaba PuHuiTi 2.0" w:cs="Alibaba PuHuiTi 2.0"/>
                <w:i/>
                <w:color w:val="8A9199"/>
                <w:sz w:val="16"/>
              </w:rPr>
              <w:t>机密文件，仅供内部参阅</w:t>
            </w:r>
          </w:p>
        </w:tc>
      </w:tr>
    </w:tbl>
    <w:p>
      <w:pPr>
        <w:spacing w:before="200" w:after="0"/>
        <w:pBdr>
          <w:bottom w:val="single" w:sz="12" w:space="1" w:color="3EC99E"/>
        </w:pBdr>
      </w:pPr>
    </w:p>
    <w:p>
      <w:pPr>
        <w:spacing w:after="0"/>
      </w:pPr>
    </w:p>
    <w:p>
      <w:pPr>
        <w:spacing w:after="0"/>
      </w:pPr>
    </w:p>
    <w:p>
      <w:pPr>
        <w:spacing w:before="0" w:after="400"/>
        <w:jc w:val="center"/>
      </w:pPr>
      <w:r>
        <w:rPr>
          <w:rFonts w:ascii="Inter" w:hAnsi="Inter" w:eastAsia="Alibaba PuHuiTi 2.0" w:cs="Alibaba PuHuiTi 2.0"/>
        </w:rPr>
        <w:drawing>
          <wp:inline xmlns:a="http://schemas.openxmlformats.org/drawingml/2006/main" xmlns:pic="http://schemas.openxmlformats.org/drawingml/2006/picture">
            <wp:extent cx="2088000" cy="14727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SUVIUS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1472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left"/>
      </w:pPr>
      <w:r>
        <w:rPr>
          <w:rFonts w:ascii="Inter" w:hAnsi="Inter" w:eastAsia="Alibaba PuHuiTi 2.0" w:cs="Alibaba PuHuiTi 2.0"/>
          <w:b/>
          <w:color w:val="0E1216"/>
          <w:sz w:val="52"/>
        </w:rPr>
        <w:t>企业培训平台功能增强建设建议书</w:t>
      </w:r>
    </w:p>
    <w:p>
      <w:pPr>
        <w:spacing w:before="0" w:after="80"/>
        <w:jc w:val="left"/>
      </w:pPr>
      <w:r>
        <w:rPr>
          <w:rFonts w:ascii="Inter" w:hAnsi="Inter" w:eastAsia="Alibaba PuHuiTi 2.0" w:cs="Alibaba PuHuiTi 2.0"/>
          <w:color w:val="8A9199"/>
          <w:sz w:val="22"/>
        </w:rPr>
        <w:t>Enterprise Training Platform Enhancement Proposal</w:t>
      </w:r>
    </w:p>
    <w:p>
      <w:pPr>
        <w:spacing w:before="40" w:after="0"/>
        <w:jc w:val="left"/>
        <w:shd w:val="clear" w:color="auto" w:fill="F2F3F5"/>
      </w:pPr>
      <w:r>
        <w:rPr>
          <w:rFonts w:ascii="Inter" w:hAnsi="Inter" w:eastAsia="Alibaba PuHuiTi 2.0" w:cs="Alibaba PuHuiTi 2.0"/>
          <w:color w:val="3D444A"/>
          <w:sz w:val="19"/>
        </w:rPr>
        <w:t xml:space="preserve">   培训内容管理  ·  课程部署  ·  积分激励  ·  视频培训  ·  培训矩阵  ·  数据台账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535"/>
            <w:tcBorders>
              <w:top w:val="single" w:sz="4" w:color="D0D5DD"/>
              <w:bottom w:val="none" w:sz="0" w:color="FFFFFF"/>
              <w:left w:val="none" w:sz="0" w:color="FFFFFF"/>
              <w:right w:val="none" w:sz="0" w:color="FFFFFF"/>
            </w:tcBorders>
            <w:vAlign w:val="top"/>
          </w:tcPr>
          <w:p>
            <w:pPr>
              <w:spacing w:before="200" w:after="80"/>
            </w:pPr>
            <w:r>
              <w:rPr>
                <w:rFonts w:ascii="Inter" w:hAnsi="Inter" w:eastAsia="Alibaba PuHuiTi 2.0" w:cs="Alibaba PuHuiTi 2.0"/>
                <w:i/>
                <w:color w:val="8A9199"/>
                <w:sz w:val="16"/>
              </w:rPr>
              <w:t>提交至</w:t>
            </w:r>
          </w:p>
          <w:p>
            <w:pPr>
              <w:spacing w:before="0" w:after="20"/>
            </w:pPr>
            <w:r>
              <w:rPr>
                <w:rFonts w:ascii="Inter" w:hAnsi="Inter" w:eastAsia="Alibaba PuHuiTi 2.0" w:cs="Alibaba PuHuiTi 2.0"/>
                <w:b/>
                <w:color w:val="0E1216"/>
                <w:sz w:val="21"/>
              </w:rPr>
              <w:t>维苏威高级陶瓷（中国）有限公司</w:t>
            </w:r>
          </w:p>
          <w:p>
            <w:pPr>
              <w:spacing w:before="0" w:after="20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（总部及核心办公室）</w:t>
            </w:r>
          </w:p>
          <w:p>
            <w:pPr>
              <w:spacing w:before="0" w:after="20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江苏省苏州市工业园区星明街 221 号</w:t>
            </w:r>
          </w:p>
        </w:tc>
        <w:tc>
          <w:tcPr>
            <w:tcW w:type="dxa" w:w="4252"/>
            <w:tcBorders>
              <w:top w:val="single" w:sz="4" w:color="D0D5DD"/>
              <w:bottom w:val="none" w:sz="0" w:color="FFFFFF"/>
              <w:left w:val="none" w:sz="0" w:color="FFFFFF"/>
              <w:right w:val="none" w:sz="0" w:color="FFFFFF"/>
            </w:tcBorders>
            <w:vAlign w:val="top"/>
          </w:tcPr>
          <w:p>
            <w:pPr>
              <w:spacing w:before="200" w:after="80"/>
              <w:jc w:val="right"/>
            </w:pPr>
            <w:r>
              <w:rPr>
                <w:rFonts w:ascii="Inter" w:hAnsi="Inter" w:eastAsia="Alibaba PuHuiTi 2.0" w:cs="Alibaba PuHuiTi 2.0"/>
                <w:i/>
                <w:color w:val="8A9199"/>
                <w:sz w:val="16"/>
              </w:rPr>
              <w:t>提交方</w:t>
            </w:r>
          </w:p>
          <w:p>
            <w:pPr>
              <w:spacing w:before="0" w:after="80"/>
              <w:jc w:val="right"/>
            </w:pPr>
            <w:r>
              <w:rPr>
                <w:rFonts w:ascii="Inter" w:hAnsi="Inter" w:eastAsia="Alibaba PuHuiTi 2.0" w:cs="Alibaba PuHuiTi 2.0"/>
              </w:rPr>
              <w:drawing>
                <wp:inline xmlns:a="http://schemas.openxmlformats.org/drawingml/2006/main" xmlns:pic="http://schemas.openxmlformats.org/drawingml/2006/picture">
                  <wp:extent cx="1152000" cy="29219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2921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  <w:jc w:val="right"/>
            </w:pPr>
            <w:r>
              <w:rPr>
                <w:rFonts w:ascii="Inter" w:hAnsi="Inter" w:eastAsia="Alibaba PuHuiTi 2.0" w:cs="Alibaba PuHuiTi 2.0"/>
                <w:b/>
                <w:color w:val="0E1216"/>
                <w:sz w:val="20"/>
              </w:rPr>
              <w:t>未来方舟（上海）科技有限公司</w:t>
            </w:r>
          </w:p>
          <w:p>
            <w:pPr>
              <w:spacing w:before="0" w:after="20"/>
              <w:jc w:val="righ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上海漕河泾创业中心大厦（桂平路）302 栋</w:t>
            </w:r>
          </w:p>
        </w:tc>
      </w:tr>
    </w:tbl>
    <w:p>
      <w:pPr>
        <w:spacing w:before="280" w:after="0"/>
        <w:jc w:val="right"/>
      </w:pPr>
      <w:r>
        <w:rPr>
          <w:rFonts w:ascii="Inter" w:hAnsi="Inter" w:eastAsia="Alibaba PuHuiTi 2.0" w:cs="Alibaba PuHuiTi 2.0"/>
          <w:color w:val="8A9199"/>
          <w:sz w:val="18"/>
        </w:rPr>
        <w:t>2026 年 6 月</w:t>
      </w:r>
    </w:p>
    <w:p>
      <w:pPr>
        <w:spacing w:before="0" w:after="0"/>
      </w:pPr>
      <w:r>
        <w:rPr>
          <w:rFonts w:ascii="Inter" w:hAnsi="Inter" w:eastAsia="Alibaba PuHuiTi 2.0" w:cs="Alibaba PuHuiTi 2.0"/>
        </w:rPr>
        <w:br w:type="page"/>
      </w:r>
    </w:p>
    <w:p>
      <w:pPr>
        <w:spacing w:before="0" w:after="320"/>
      </w:pPr>
      <w:r>
        <w:rPr>
          <w:rFonts w:ascii="Inter" w:hAnsi="Inter" w:eastAsia="Alibaba PuHuiTi 2.0" w:cs="Alibaba PuHuiTi 2.0"/>
          <w:b/>
          <w:color w:val="0E1216"/>
          <w:sz w:val="40"/>
        </w:rPr>
        <w:t>目  录</w:t>
      </w:r>
    </w:p>
    <w:p>
      <w:pPr>
        <w:spacing w:before="0" w:after="400"/>
        <w:pBdr>
          <w:bottom w:val="single" w:sz="6" w:space="1" w:color="3EC99E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680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shd w:val="clear" w:color="auto" w:fill="F2F3F5"/>
          </w:tcPr>
          <w:p>
            <w:pPr>
              <w:spacing w:before="120" w:after="40"/>
            </w:pPr>
            <w:r>
              <w:rPr>
                <w:rFonts w:ascii="Inter" w:hAnsi="Inter" w:eastAsia="Alibaba PuHuiTi 2.0" w:cs="Alibaba PuHuiTi 2.0"/>
                <w:b/>
                <w:color w:val="3EC99E"/>
                <w:sz w:val="22"/>
              </w:rPr>
              <w:t>一</w:t>
            </w:r>
          </w:p>
        </w:tc>
        <w:tc>
          <w:tcPr>
            <w:tcW w:type="dxa" w:w="396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shd w:val="clear" w:color="auto" w:fill="F2F3F5"/>
          </w:tcPr>
          <w:p>
            <w:pPr>
              <w:spacing w:before="120" w:after="40"/>
              <w:ind w:left="0"/>
            </w:pPr>
            <w:r>
              <w:rPr>
                <w:rFonts w:ascii="Inter" w:hAnsi="Inter" w:eastAsia="Alibaba PuHuiTi 2.0" w:cs="Alibaba PuHuiTi 2.0"/>
                <w:b/>
                <w:color w:val="0E1216"/>
                <w:sz w:val="22"/>
              </w:rPr>
              <w:t>项目背景与目标</w:t>
            </w:r>
          </w:p>
        </w:tc>
        <w:tc>
          <w:tcPr>
            <w:tcW w:type="dxa" w:w="413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shd w:val="clear" w:color="auto" w:fill="F2F3F5"/>
          </w:tcPr>
          <w:p>
            <w:pPr>
              <w:spacing w:before="120" w:after="40"/>
            </w:pPr>
            <w:r>
              <w:rPr>
                <w:rFonts w:ascii="Inter" w:hAnsi="Inter" w:eastAsia="Alibaba PuHuiTi 2.0" w:cs="Alibaba PuHuiTi 2.0"/>
                <w:color w:val="8A9199"/>
                <w:sz w:val="18"/>
              </w:rPr>
              <w:t>建设主线与六大管理改变</w:t>
            </w:r>
          </w:p>
        </w:tc>
      </w:tr>
      <w:tr>
        <w:tc>
          <w:tcPr>
            <w:tcW w:type="dxa" w:w="680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shd w:val="clear" w:color="auto" w:fill="F2F3F5"/>
          </w:tcPr>
          <w:p>
            <w:pPr>
              <w:spacing w:before="120" w:after="40"/>
            </w:pPr>
            <w:r>
              <w:rPr>
                <w:rFonts w:ascii="Inter" w:hAnsi="Inter" w:eastAsia="Alibaba PuHuiTi 2.0" w:cs="Alibaba PuHuiTi 2.0"/>
                <w:b/>
                <w:color w:val="3EC99E"/>
                <w:sz w:val="22"/>
              </w:rPr>
              <w:t>二</w:t>
            </w:r>
          </w:p>
        </w:tc>
        <w:tc>
          <w:tcPr>
            <w:tcW w:type="dxa" w:w="396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shd w:val="clear" w:color="auto" w:fill="F2F3F5"/>
          </w:tcPr>
          <w:p>
            <w:pPr>
              <w:spacing w:before="120" w:after="40"/>
              <w:ind w:left="0"/>
            </w:pPr>
            <w:r>
              <w:rPr>
                <w:rFonts w:ascii="Inter" w:hAnsi="Inter" w:eastAsia="Alibaba PuHuiTi 2.0" w:cs="Alibaba PuHuiTi 2.0"/>
                <w:b/>
                <w:color w:val="0E1216"/>
                <w:sz w:val="22"/>
              </w:rPr>
              <w:t>本期建设范围</w:t>
            </w:r>
          </w:p>
        </w:tc>
        <w:tc>
          <w:tcPr>
            <w:tcW w:type="dxa" w:w="413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shd w:val="clear" w:color="auto" w:fill="F2F3F5"/>
          </w:tcPr>
          <w:p>
            <w:pPr>
              <w:spacing w:before="120" w:after="40"/>
            </w:pPr>
            <w:r>
              <w:rPr>
                <w:rFonts w:ascii="Inter" w:hAnsi="Inter" w:eastAsia="Alibaba PuHuiTi 2.0" w:cs="Alibaba PuHuiTi 2.0"/>
                <w:color w:val="8A9199"/>
                <w:sz w:val="18"/>
              </w:rPr>
              <w:t>七个功能版块总览</w:t>
            </w:r>
          </w:p>
        </w:tc>
      </w:tr>
      <w:tr>
        <w:tc>
          <w:tcPr>
            <w:tcW w:type="dxa" w:w="680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shd w:val="clear" w:color="auto" w:fill="F2F3F5"/>
          </w:tcPr>
          <w:p>
            <w:pPr>
              <w:spacing w:before="120" w:after="40"/>
            </w:pPr>
            <w:r>
              <w:rPr>
                <w:rFonts w:ascii="Inter" w:hAnsi="Inter" w:eastAsia="Alibaba PuHuiTi 2.0" w:cs="Alibaba PuHuiTi 2.0"/>
                <w:b/>
                <w:color w:val="3EC99E"/>
                <w:sz w:val="22"/>
              </w:rPr>
              <w:t>三</w:t>
            </w:r>
          </w:p>
        </w:tc>
        <w:tc>
          <w:tcPr>
            <w:tcW w:type="dxa" w:w="396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shd w:val="clear" w:color="auto" w:fill="F2F3F5"/>
          </w:tcPr>
          <w:p>
            <w:pPr>
              <w:spacing w:before="120" w:after="40"/>
              <w:ind w:left="0"/>
            </w:pPr>
            <w:r>
              <w:rPr>
                <w:rFonts w:ascii="Inter" w:hAnsi="Inter" w:eastAsia="Alibaba PuHuiTi 2.0" w:cs="Alibaba PuHuiTi 2.0"/>
                <w:b/>
                <w:color w:val="0E1216"/>
                <w:sz w:val="22"/>
              </w:rPr>
              <w:t>功能方案</w:t>
            </w:r>
          </w:p>
        </w:tc>
        <w:tc>
          <w:tcPr>
            <w:tcW w:type="dxa" w:w="413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shd w:val="clear" w:color="auto" w:fill="F2F3F5"/>
          </w:tcPr>
          <w:p>
            <w:pPr>
              <w:spacing w:before="120" w:after="40"/>
            </w:pPr>
            <w:r>
              <w:rPr>
                <w:rFonts w:ascii="Inter" w:hAnsi="Inter" w:eastAsia="Alibaba PuHuiTi 2.0" w:cs="Alibaba PuHuiTi 2.0"/>
                <w:color w:val="8A9199"/>
                <w:sz w:val="18"/>
              </w:rPr>
              <w:t>各模块功能详述与价值说明</w:t>
            </w:r>
          </w:p>
        </w:tc>
      </w:tr>
      <w:tr>
        <w:tc>
          <w:tcPr>
            <w:tcW w:type="dxa" w:w="680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</w:tcPr>
          <w:p>
            <w:pPr>
              <w:spacing w:before="0" w:after="40"/>
            </w:pPr>
          </w:p>
        </w:tc>
        <w:tc>
          <w:tcPr>
            <w:tcW w:type="dxa" w:w="396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</w:tcPr>
          <w:p>
            <w:pPr>
              <w:spacing w:before="0" w:after="40"/>
              <w:ind w:left="120"/>
            </w:pPr>
            <w:r>
              <w:rPr>
                <w:rFonts w:ascii="Inter" w:hAnsi="Inter" w:eastAsia="Alibaba PuHuiTi 2.0" w:cs="Alibaba PuHuiTi 2.0"/>
                <w:color w:val="3D444A"/>
                <w:sz w:val="20"/>
              </w:rPr>
              <w:t>3.1  培训内容管理</w:t>
            </w:r>
          </w:p>
        </w:tc>
        <w:tc>
          <w:tcPr>
            <w:tcW w:type="dxa" w:w="413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</w:tcPr>
          <w:p>
            <w:pPr>
              <w:spacing w:before="0" w:after="40"/>
            </w:pPr>
            <w:r>
              <w:rPr>
                <w:rFonts w:ascii="Inter" w:hAnsi="Inter" w:eastAsia="Alibaba PuHuiTi 2.0" w:cs="Alibaba PuHuiTi 2.0"/>
                <w:color w:val="8A9199"/>
                <w:sz w:val="18"/>
              </w:rPr>
              <w:t>完成规则 · 审核流 · 版本记录 · AI 辅助</w:t>
            </w:r>
          </w:p>
        </w:tc>
      </w:tr>
      <w:tr>
        <w:tc>
          <w:tcPr>
            <w:tcW w:type="dxa" w:w="680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</w:tcPr>
          <w:p>
            <w:pPr>
              <w:spacing w:before="0" w:after="40"/>
            </w:pPr>
          </w:p>
        </w:tc>
        <w:tc>
          <w:tcPr>
            <w:tcW w:type="dxa" w:w="396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</w:tcPr>
          <w:p>
            <w:pPr>
              <w:spacing w:before="0" w:after="40"/>
              <w:ind w:left="120"/>
            </w:pPr>
            <w:r>
              <w:rPr>
                <w:rFonts w:ascii="Inter" w:hAnsi="Inter" w:eastAsia="Alibaba PuHuiTi 2.0" w:cs="Alibaba PuHuiTi 2.0"/>
                <w:color w:val="3D444A"/>
                <w:sz w:val="20"/>
              </w:rPr>
              <w:t>3.2  课程部署</w:t>
            </w:r>
          </w:p>
        </w:tc>
        <w:tc>
          <w:tcPr>
            <w:tcW w:type="dxa" w:w="413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</w:tcPr>
          <w:p>
            <w:pPr>
              <w:spacing w:before="0" w:after="40"/>
            </w:pPr>
            <w:r>
              <w:rPr>
                <w:rFonts w:ascii="Inter" w:hAnsi="Inter" w:eastAsia="Alibaba PuHuiTi 2.0" w:cs="Alibaba PuHuiTi 2.0"/>
                <w:color w:val="8A9199"/>
                <w:sz w:val="18"/>
              </w:rPr>
              <w:t>任务分配 · 截止追踪 · 部署历史</w:t>
            </w:r>
          </w:p>
        </w:tc>
      </w:tr>
      <w:tr>
        <w:tc>
          <w:tcPr>
            <w:tcW w:type="dxa" w:w="680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</w:tcPr>
          <w:p>
            <w:pPr>
              <w:spacing w:before="0" w:after="40"/>
            </w:pPr>
          </w:p>
        </w:tc>
        <w:tc>
          <w:tcPr>
            <w:tcW w:type="dxa" w:w="396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</w:tcPr>
          <w:p>
            <w:pPr>
              <w:spacing w:before="0" w:after="40"/>
              <w:ind w:left="120"/>
            </w:pPr>
            <w:r>
              <w:rPr>
                <w:rFonts w:ascii="Inter" w:hAnsi="Inter" w:eastAsia="Alibaba PuHuiTi 2.0" w:cs="Alibaba PuHuiTi 2.0"/>
                <w:color w:val="3D444A"/>
                <w:sz w:val="20"/>
              </w:rPr>
              <w:t>3.3  正负积分体系</w:t>
            </w:r>
          </w:p>
        </w:tc>
        <w:tc>
          <w:tcPr>
            <w:tcW w:type="dxa" w:w="413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</w:tcPr>
          <w:p>
            <w:pPr>
              <w:spacing w:before="0" w:after="40"/>
            </w:pPr>
            <w:r>
              <w:rPr>
                <w:rFonts w:ascii="Inter" w:hAnsi="Inter" w:eastAsia="Alibaba PuHuiTi 2.0" w:cs="Alibaba PuHuiTi 2.0"/>
                <w:color w:val="8A9199"/>
                <w:sz w:val="18"/>
              </w:rPr>
              <w:t>激励约束 · 积分流水 · 团队参与度</w:t>
            </w:r>
          </w:p>
        </w:tc>
      </w:tr>
      <w:tr>
        <w:tc>
          <w:tcPr>
            <w:tcW w:type="dxa" w:w="680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</w:tcPr>
          <w:p>
            <w:pPr>
              <w:spacing w:before="0" w:after="40"/>
            </w:pPr>
          </w:p>
        </w:tc>
        <w:tc>
          <w:tcPr>
            <w:tcW w:type="dxa" w:w="396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</w:tcPr>
          <w:p>
            <w:pPr>
              <w:spacing w:before="0" w:after="40"/>
              <w:ind w:left="120"/>
            </w:pPr>
            <w:r>
              <w:rPr>
                <w:rFonts w:ascii="Inter" w:hAnsi="Inter" w:eastAsia="Alibaba PuHuiTi 2.0" w:cs="Alibaba PuHuiTi 2.0"/>
                <w:color w:val="3D444A"/>
                <w:sz w:val="20"/>
              </w:rPr>
              <w:t>3.4  视频培训</w:t>
            </w:r>
          </w:p>
        </w:tc>
        <w:tc>
          <w:tcPr>
            <w:tcW w:type="dxa" w:w="413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</w:tcPr>
          <w:p>
            <w:pPr>
              <w:spacing w:before="0" w:after="40"/>
            </w:pPr>
            <w:r>
              <w:rPr>
                <w:rFonts w:ascii="Inter" w:hAnsi="Inter" w:eastAsia="Alibaba PuHuiTi 2.0" w:cs="Alibaba PuHuiTi 2.0"/>
                <w:color w:val="8A9199"/>
                <w:sz w:val="18"/>
              </w:rPr>
              <w:t>在线播放 · 断点续播 · 进度真实记录</w:t>
            </w:r>
          </w:p>
        </w:tc>
      </w:tr>
      <w:tr>
        <w:tc>
          <w:tcPr>
            <w:tcW w:type="dxa" w:w="680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</w:tcPr>
          <w:p>
            <w:pPr>
              <w:spacing w:before="0" w:after="40"/>
            </w:pPr>
          </w:p>
        </w:tc>
        <w:tc>
          <w:tcPr>
            <w:tcW w:type="dxa" w:w="396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</w:tcPr>
          <w:p>
            <w:pPr>
              <w:spacing w:before="0" w:after="40"/>
              <w:ind w:left="120"/>
            </w:pPr>
            <w:r>
              <w:rPr>
                <w:rFonts w:ascii="Inter" w:hAnsi="Inter" w:eastAsia="Alibaba PuHuiTi 2.0" w:cs="Alibaba PuHuiTi 2.0"/>
                <w:color w:val="3D444A"/>
                <w:sz w:val="20"/>
              </w:rPr>
              <w:t>3.5  培训矩阵</w:t>
            </w:r>
          </w:p>
        </w:tc>
        <w:tc>
          <w:tcPr>
            <w:tcW w:type="dxa" w:w="413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</w:tcPr>
          <w:p>
            <w:pPr>
              <w:spacing w:before="0" w:after="40"/>
            </w:pPr>
            <w:r>
              <w:rPr>
                <w:rFonts w:ascii="Inter" w:hAnsi="Inter" w:eastAsia="Alibaba PuHuiTi 2.0" w:cs="Alibaba PuHuiTi 2.0"/>
                <w:color w:val="8A9199"/>
                <w:sz w:val="18"/>
              </w:rPr>
              <w:t>全员覆盖视图 · 多维度筛选 · 一键导出</w:t>
            </w:r>
          </w:p>
        </w:tc>
      </w:tr>
      <w:tr>
        <w:tc>
          <w:tcPr>
            <w:tcW w:type="dxa" w:w="680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</w:tcPr>
          <w:p>
            <w:pPr>
              <w:spacing w:before="0" w:after="40"/>
            </w:pPr>
          </w:p>
        </w:tc>
        <w:tc>
          <w:tcPr>
            <w:tcW w:type="dxa" w:w="396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</w:tcPr>
          <w:p>
            <w:pPr>
              <w:spacing w:before="0" w:after="40"/>
              <w:ind w:left="120"/>
            </w:pPr>
            <w:r>
              <w:rPr>
                <w:rFonts w:ascii="Inter" w:hAnsi="Inter" w:eastAsia="Alibaba PuHuiTi 2.0" w:cs="Alibaba PuHuiTi 2.0"/>
                <w:color w:val="3D444A"/>
                <w:sz w:val="20"/>
              </w:rPr>
              <w:t>3.6  数据统计与台账</w:t>
            </w:r>
          </w:p>
        </w:tc>
        <w:tc>
          <w:tcPr>
            <w:tcW w:type="dxa" w:w="413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</w:tcPr>
          <w:p>
            <w:pPr>
              <w:spacing w:before="0" w:after="40"/>
            </w:pPr>
            <w:r>
              <w:rPr>
                <w:rFonts w:ascii="Inter" w:hAnsi="Inter" w:eastAsia="Alibaba PuHuiTi 2.0" w:cs="Alibaba PuHuiTi 2.0"/>
                <w:color w:val="8A9199"/>
                <w:sz w:val="18"/>
              </w:rPr>
              <w:t>多类型报表 · 合规数据出口</w:t>
            </w:r>
          </w:p>
        </w:tc>
      </w:tr>
      <w:tr>
        <w:tc>
          <w:tcPr>
            <w:tcW w:type="dxa" w:w="680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shd w:val="clear" w:color="auto" w:fill="F2F3F5"/>
          </w:tcPr>
          <w:p>
            <w:pPr>
              <w:spacing w:before="120" w:after="40"/>
            </w:pPr>
            <w:r>
              <w:rPr>
                <w:rFonts w:ascii="Inter" w:hAnsi="Inter" w:eastAsia="Alibaba PuHuiTi 2.0" w:cs="Alibaba PuHuiTi 2.0"/>
                <w:b/>
                <w:color w:val="3EC99E"/>
                <w:sz w:val="22"/>
              </w:rPr>
              <w:t>四</w:t>
            </w:r>
          </w:p>
        </w:tc>
        <w:tc>
          <w:tcPr>
            <w:tcW w:type="dxa" w:w="396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shd w:val="clear" w:color="auto" w:fill="F2F3F5"/>
          </w:tcPr>
          <w:p>
            <w:pPr>
              <w:spacing w:before="120" w:after="40"/>
              <w:ind w:left="0"/>
            </w:pPr>
            <w:r>
              <w:rPr>
                <w:rFonts w:ascii="Inter" w:hAnsi="Inter" w:eastAsia="Alibaba PuHuiTi 2.0" w:cs="Alibaba PuHuiTi 2.0"/>
                <w:b/>
                <w:color w:val="0E1216"/>
                <w:sz w:val="22"/>
              </w:rPr>
              <w:t>双方团队分工</w:t>
            </w:r>
          </w:p>
        </w:tc>
        <w:tc>
          <w:tcPr>
            <w:tcW w:type="dxa" w:w="413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shd w:val="clear" w:color="auto" w:fill="F2F3F5"/>
          </w:tcPr>
          <w:p>
            <w:pPr>
              <w:spacing w:before="120" w:after="40"/>
            </w:pPr>
            <w:r>
              <w:rPr>
                <w:rFonts w:ascii="Inter" w:hAnsi="Inter" w:eastAsia="Alibaba PuHuiTi 2.0" w:cs="Alibaba PuHuiTi 2.0"/>
                <w:color w:val="8A9199"/>
                <w:sz w:val="18"/>
              </w:rPr>
              <w:t>任务清单 · 工作界面 · 初步项目进度</w:t>
            </w:r>
          </w:p>
        </w:tc>
      </w:tr>
      <w:tr>
        <w:tc>
          <w:tcPr>
            <w:tcW w:type="dxa" w:w="680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shd w:val="clear" w:color="auto" w:fill="F2F3F5"/>
          </w:tcPr>
          <w:p>
            <w:pPr>
              <w:spacing w:before="120" w:after="40"/>
            </w:pPr>
            <w:r>
              <w:rPr>
                <w:rFonts w:ascii="Inter" w:hAnsi="Inter" w:eastAsia="Alibaba PuHuiTi 2.0" w:cs="Alibaba PuHuiTi 2.0"/>
                <w:b/>
                <w:color w:val="3EC99E"/>
                <w:sz w:val="22"/>
              </w:rPr>
              <w:t>五</w:t>
            </w:r>
          </w:p>
        </w:tc>
        <w:tc>
          <w:tcPr>
            <w:tcW w:type="dxa" w:w="396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shd w:val="clear" w:color="auto" w:fill="F2F3F5"/>
          </w:tcPr>
          <w:p>
            <w:pPr>
              <w:spacing w:before="120" w:after="40"/>
              <w:ind w:left="0"/>
            </w:pPr>
            <w:r>
              <w:rPr>
                <w:rFonts w:ascii="Inter" w:hAnsi="Inter" w:eastAsia="Alibaba PuHuiTi 2.0" w:cs="Alibaba PuHuiTi 2.0"/>
                <w:b/>
                <w:color w:val="0E1216"/>
                <w:sz w:val="22"/>
              </w:rPr>
              <w:t>报价方案</w:t>
            </w:r>
          </w:p>
        </w:tc>
        <w:tc>
          <w:tcPr>
            <w:tcW w:type="dxa" w:w="413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shd w:val="clear" w:color="auto" w:fill="F2F3F5"/>
          </w:tcPr>
          <w:p>
            <w:pPr>
              <w:spacing w:before="120" w:after="40"/>
            </w:pPr>
            <w:r>
              <w:rPr>
                <w:rFonts w:ascii="Inter" w:hAnsi="Inter" w:eastAsia="Alibaba PuHuiTi 2.0" w:cs="Alibaba PuHuiTi 2.0"/>
                <w:color w:val="8A9199"/>
                <w:sz w:val="18"/>
              </w:rPr>
              <w:t>分层席位模型 · 费用明细 · 报价说明</w:t>
            </w:r>
          </w:p>
        </w:tc>
      </w:tr>
    </w:tbl>
    <w:p>
      <w:pPr>
        <w:spacing w:before="0" w:after="0"/>
      </w:pPr>
      <w:r>
        <w:rPr>
          <w:rFonts w:ascii="Inter" w:hAnsi="Inter" w:eastAsia="Alibaba PuHuiTi 2.0" w:cs="Alibaba PuHuiTi 2.0"/>
        </w:rPr>
        <w:br w:type="page"/>
      </w:r>
    </w:p>
    <w:p>
      <w:pPr>
        <w:spacing w:before="120" w:after="40"/>
        <w:jc w:val="center"/>
      </w:pPr>
      <w:r>
        <w:rPr>
          <w:rFonts w:ascii="Inter" w:hAnsi="Inter" w:eastAsia="Alibaba PuHuiTi 2.0" w:cs="Alibaba PuHuiTi 2.0"/>
          <w:b/>
          <w:color w:val="0E1216"/>
          <w:sz w:val="40"/>
        </w:rPr>
        <w:t>企业培训平台功能增强建设建议书</w:t>
      </w:r>
    </w:p>
    <w:p>
      <w:pPr>
        <w:spacing w:before="0" w:after="240"/>
        <w:jc w:val="center"/>
      </w:pPr>
      <w:r>
        <w:rPr>
          <w:rFonts w:ascii="Inter" w:hAnsi="Inter" w:eastAsia="Alibaba PuHuiTi 2.0" w:cs="Alibaba PuHuiTi 2.0"/>
          <w:color w:val="8A9199"/>
          <w:sz w:val="18"/>
        </w:rPr>
        <w:t>ENTERPRISE TRAINING PLATFORM ENHANCEMENT PROPOSAL  ·  FOR VESUVIUS CHINA</w:t>
      </w:r>
    </w:p>
    <w:p>
      <w:pPr>
        <w:spacing w:before="0" w:after="320"/>
        <w:pBdr>
          <w:bottom w:val="single" w:sz="6" w:space="1" w:color="3EC99E"/>
        </w:pBdr>
      </w:pPr>
    </w:p>
    <w:tbl>
      <w:tblPr>
        <w:tblW w:type="dxa" w:w="8786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984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2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/>
              <w:jc w:val="left"/>
            </w:pPr>
            <w:r>
              <w:rPr>
                <w:rFonts w:ascii="Inter" w:hAnsi="Inter" w:eastAsia="Alibaba PuHuiTi 2.0" w:cs="Alibaba PuHuiTi 2.0"/>
                <w:b/>
                <w:color w:val="3D444A"/>
                <w:sz w:val="19"/>
              </w:rPr>
              <w:t>提交至</w:t>
            </w:r>
          </w:p>
        </w:tc>
        <w:tc>
          <w:tcPr>
            <w:tcW w:type="dxa" w:w="6236"/>
            <w:vAlign w:val="center"/>
            <w:tcMar>
              <w:top w:w="130" w:type="dxa"/>
              <w:left w:w="16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维苏威高级陶瓷（中国）有限公司</w:t>
            </w:r>
          </w:p>
        </w:tc>
      </w:tr>
      <w:tr>
        <w:tc>
          <w:tcPr>
            <w:tcW w:type="dxa" w:w="1984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2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/>
              <w:jc w:val="left"/>
            </w:pPr>
            <w:r>
              <w:rPr>
                <w:rFonts w:ascii="Inter" w:hAnsi="Inter" w:eastAsia="Alibaba PuHuiTi 2.0" w:cs="Alibaba PuHuiTi 2.0"/>
                <w:b/>
                <w:color w:val="3D444A"/>
                <w:sz w:val="19"/>
              </w:rPr>
              <w:t>项目名称</w:t>
            </w:r>
          </w:p>
        </w:tc>
        <w:tc>
          <w:tcPr>
            <w:tcW w:type="dxa" w:w="6236"/>
            <w:vAlign w:val="center"/>
            <w:tcMar>
              <w:top w:w="130" w:type="dxa"/>
              <w:left w:w="16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企业培训平台功能增强建设项目</w:t>
            </w:r>
          </w:p>
        </w:tc>
      </w:tr>
      <w:tr>
        <w:tc>
          <w:tcPr>
            <w:tcW w:type="dxa" w:w="1984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2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/>
              <w:jc w:val="left"/>
            </w:pPr>
            <w:r>
              <w:rPr>
                <w:rFonts w:ascii="Inter" w:hAnsi="Inter" w:eastAsia="Alibaba PuHuiTi 2.0" w:cs="Alibaba PuHuiTi 2.0"/>
                <w:b/>
                <w:color w:val="3D444A"/>
                <w:sz w:val="19"/>
              </w:rPr>
              <w:t>版本</w:t>
            </w:r>
          </w:p>
        </w:tc>
        <w:tc>
          <w:tcPr>
            <w:tcW w:type="dxa" w:w="6236"/>
            <w:vAlign w:val="center"/>
            <w:tcMar>
              <w:top w:w="130" w:type="dxa"/>
              <w:left w:w="16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V3.0</w:t>
            </w:r>
          </w:p>
        </w:tc>
      </w:tr>
      <w:tr>
        <w:tc>
          <w:tcPr>
            <w:tcW w:type="dxa" w:w="1984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2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/>
              <w:jc w:val="left"/>
            </w:pPr>
            <w:r>
              <w:rPr>
                <w:rFonts w:ascii="Inter" w:hAnsi="Inter" w:eastAsia="Alibaba PuHuiTi 2.0" w:cs="Alibaba PuHuiTi 2.0"/>
                <w:b/>
                <w:color w:val="3D444A"/>
                <w:sz w:val="19"/>
              </w:rPr>
              <w:t>文件性质</w:t>
            </w:r>
          </w:p>
        </w:tc>
        <w:tc>
          <w:tcPr>
            <w:tcW w:type="dxa" w:w="6236"/>
            <w:vAlign w:val="center"/>
            <w:tcMar>
              <w:top w:w="130" w:type="dxa"/>
              <w:left w:w="16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机密文件，仅供内部参阅</w:t>
            </w:r>
          </w:p>
        </w:tc>
      </w:tr>
      <w:tr>
        <w:tc>
          <w:tcPr>
            <w:tcW w:type="dxa" w:w="1984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2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/>
              <w:jc w:val="left"/>
            </w:pPr>
            <w:r>
              <w:rPr>
                <w:rFonts w:ascii="Inter" w:hAnsi="Inter" w:eastAsia="Alibaba PuHuiTi 2.0" w:cs="Alibaba PuHuiTi 2.0"/>
                <w:b/>
                <w:color w:val="3D444A"/>
                <w:sz w:val="19"/>
              </w:rPr>
              <w:t>预计周期</w:t>
            </w:r>
          </w:p>
        </w:tc>
        <w:tc>
          <w:tcPr>
            <w:tcW w:type="dxa" w:w="6236"/>
            <w:vAlign w:val="center"/>
            <w:tcMar>
              <w:top w:w="130" w:type="dxa"/>
              <w:left w:w="16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约 8 周（视最终范围确认）</w:t>
            </w:r>
          </w:p>
        </w:tc>
      </w:tr>
    </w:tbl>
    <w:p>
      <w:pPr>
        <w:spacing w:before="280" w:after="120"/>
      </w:pPr>
      <w:r>
        <w:rPr>
          <w:rFonts w:ascii="Inter" w:hAnsi="Inter" w:eastAsia="Alibaba PuHuiTi 2.0" w:cs="Alibaba PuHuiTi 2.0"/>
          <w:b/>
          <w:color w:val="0E1216"/>
          <w:sz w:val="56"/>
        </w:rPr>
        <w:t>一、项目背景与目标</w:t>
      </w:r>
    </w:p>
    <w:p>
      <w:pPr>
        <w:spacing w:before="0" w:after="160" w:lineRule="auto" w:line="360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贵司现有培训平台已具备基础的内容管理能力。本次增强的核心目标是让培训从"内容已发布"真正走向"任务被完成、过程有记录、结果可追溯"——让管理者不再依赖手工 Excel 和微信群催促，让每一次培训都有闭环。</w:t>
      </w:r>
    </w:p>
    <w:p>
      <w:pPr>
        <w:spacing w:before="0" w:after="160" w:lineRule="auto" w:line="360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本期建设将在六个维度产生直接的管理改变：</w:t>
      </w:r>
    </w:p>
    <w:p>
      <w:pPr>
        <w:spacing w:before="20" w:after="80" w:lineRule="auto" w:line="324"/>
        <w:ind w:left="320" w:hanging="260"/>
      </w:pPr>
      <w:r>
        <w:rPr>
          <w:rFonts w:ascii="Inter" w:hAnsi="Inter" w:eastAsia="Alibaba PuHuiTi 2.0" w:cs="Alibaba PuHuiTi 2.0"/>
          <w:b/>
          <w:color w:val="3EC99E"/>
          <w:sz w:val="21"/>
        </w:rPr>
        <w:t xml:space="preserve">•  </w:t>
      </w:r>
      <w:r>
        <w:rPr>
          <w:rFonts w:ascii="Inter" w:hAnsi="Inter" w:eastAsia="Alibaba PuHuiTi 2.0" w:cs="Alibaba PuHuiTi 2.0"/>
          <w:color w:val="3D444A"/>
          <w:sz w:val="21"/>
        </w:rPr>
        <w:t>培训任务有人认领、有截止时间、完成情况实时可查，执行率可量化。</w:t>
      </w:r>
    </w:p>
    <w:p>
      <w:pPr>
        <w:spacing w:before="20" w:after="80" w:lineRule="auto" w:line="324"/>
        <w:ind w:left="320" w:hanging="260"/>
      </w:pPr>
      <w:r>
        <w:rPr>
          <w:rFonts w:ascii="Inter" w:hAnsi="Inter" w:eastAsia="Alibaba PuHuiTi 2.0" w:cs="Alibaba PuHuiTi 2.0"/>
          <w:b/>
          <w:color w:val="3EC99E"/>
          <w:sz w:val="21"/>
        </w:rPr>
        <w:t xml:space="preserve">•  </w:t>
      </w:r>
      <w:r>
        <w:rPr>
          <w:rFonts w:ascii="Inter" w:hAnsi="Inter" w:eastAsia="Alibaba PuHuiTi 2.0" w:cs="Alibaba PuHuiTi 2.0"/>
          <w:color w:val="3D444A"/>
          <w:sz w:val="21"/>
        </w:rPr>
        <w:t>员工参与有正向激励和逾期约束，学习行为有数据记录。</w:t>
      </w:r>
    </w:p>
    <w:p>
      <w:pPr>
        <w:spacing w:before="20" w:after="80" w:lineRule="auto" w:line="324"/>
        <w:ind w:left="320" w:hanging="260"/>
      </w:pPr>
      <w:r>
        <w:rPr>
          <w:rFonts w:ascii="Inter" w:hAnsi="Inter" w:eastAsia="Alibaba PuHuiTi 2.0" w:cs="Alibaba PuHuiTi 2.0"/>
          <w:b/>
          <w:color w:val="3EC99E"/>
          <w:sz w:val="21"/>
        </w:rPr>
        <w:t xml:space="preserve">•  </w:t>
      </w:r>
      <w:r>
        <w:rPr>
          <w:rFonts w:ascii="Inter" w:hAnsi="Inter" w:eastAsia="Alibaba PuHuiTi 2.0" w:cs="Alibaba PuHuiTi 2.0"/>
          <w:color w:val="3D444A"/>
          <w:sz w:val="21"/>
        </w:rPr>
        <w:t>操作规程、安全演示等视频内容可上传课程并分发部署，观看完成情况自动留痕。</w:t>
      </w:r>
    </w:p>
    <w:p>
      <w:pPr>
        <w:spacing w:before="20" w:after="80" w:lineRule="auto" w:line="324"/>
        <w:ind w:left="320" w:hanging="260"/>
      </w:pPr>
      <w:r>
        <w:rPr>
          <w:rFonts w:ascii="Inter" w:hAnsi="Inter" w:eastAsia="Alibaba PuHuiTi 2.0" w:cs="Alibaba PuHuiTi 2.0"/>
          <w:b/>
          <w:color w:val="3EC99E"/>
          <w:sz w:val="21"/>
        </w:rPr>
        <w:t xml:space="preserve">•  </w:t>
      </w:r>
      <w:r>
        <w:rPr>
          <w:rFonts w:ascii="Inter" w:hAnsi="Inter" w:eastAsia="Alibaba PuHuiTi 2.0" w:cs="Alibaba PuHuiTi 2.0"/>
          <w:color w:val="3D444A"/>
          <w:sz w:val="21"/>
        </w:rPr>
        <w:t>一张培训矩阵实时展示所有员工的课程覆盖情况，无需人工汇总。</w:t>
      </w:r>
    </w:p>
    <w:p>
      <w:pPr>
        <w:spacing w:before="20" w:after="80" w:lineRule="auto" w:line="324"/>
        <w:ind w:left="320" w:hanging="260"/>
      </w:pPr>
      <w:r>
        <w:rPr>
          <w:rFonts w:ascii="Inter" w:hAnsi="Inter" w:eastAsia="Alibaba PuHuiTi 2.0" w:cs="Alibaba PuHuiTi 2.0"/>
          <w:b/>
          <w:color w:val="3EC99E"/>
          <w:sz w:val="21"/>
        </w:rPr>
        <w:t xml:space="preserve">•  </w:t>
      </w:r>
      <w:r>
        <w:rPr>
          <w:rFonts w:ascii="Inter" w:hAnsi="Inter" w:eastAsia="Alibaba PuHuiTi 2.0" w:cs="Alibaba PuHuiTi 2.0"/>
          <w:color w:val="3D444A"/>
          <w:sz w:val="21"/>
        </w:rPr>
        <w:t>学习过程真实性有基础保障，培训记录具备可信度与审计能力。</w:t>
      </w:r>
    </w:p>
    <w:p>
      <w:pPr>
        <w:spacing w:before="20" w:after="80" w:lineRule="auto" w:line="324"/>
        <w:ind w:left="320" w:hanging="260"/>
      </w:pPr>
      <w:r>
        <w:rPr>
          <w:rFonts w:ascii="Inter" w:hAnsi="Inter" w:eastAsia="Alibaba PuHuiTi 2.0" w:cs="Alibaba PuHuiTi 2.0"/>
          <w:b/>
          <w:color w:val="3EC99E"/>
          <w:sz w:val="21"/>
        </w:rPr>
        <w:t xml:space="preserve">•  </w:t>
      </w:r>
      <w:r>
        <w:rPr>
          <w:rFonts w:ascii="Inter" w:hAnsi="Inter" w:eastAsia="Alibaba PuHuiTi 2.0" w:cs="Alibaba PuHuiTi 2.0"/>
          <w:color w:val="3D444A"/>
          <w:sz w:val="21"/>
        </w:rPr>
        <w:t>培训记录、积分流水、考试台账具备向合规档案扩展的数据基础。</w:t>
      </w:r>
    </w:p>
    <w:p>
      <w:pPr>
        <w:spacing w:before="80" w:after="80"/>
        <w:ind w:left="160" w:right="160"/>
        <w:pBdr>
          <w:left w:val="single" w:sz="24" w:space="12" w:color="3EC99E"/>
        </w:pBdr>
        <w:shd w:val="clear" w:color="auto" w:fill="F2F3F5"/>
      </w:pPr>
      <w:r>
        <w:rPr>
          <w:rFonts w:ascii="Inter" w:hAnsi="Inter" w:eastAsia="Alibaba PuHuiTi 2.0" w:cs="Alibaba PuHuiTi 2.0"/>
          <w:b/>
          <w:color w:val="3EC99E"/>
          <w:sz w:val="19"/>
        </w:rPr>
        <w:t xml:space="preserve">一句话概括  </w:t>
      </w:r>
      <w:r>
        <w:rPr>
          <w:rFonts w:ascii="Inter" w:hAnsi="Inter" w:eastAsia="Alibaba PuHuiTi 2.0" w:cs="Alibaba PuHuiTi 2.0"/>
          <w:color w:val="8A9199"/>
          <w:sz w:val="19"/>
        </w:rPr>
        <w:t>建设主线：内容可管理 → 任务可部署 → 过程可监督 → 结果可统计 → 数据可导出。</w:t>
      </w:r>
    </w:p>
    <w:p>
      <w:pPr>
        <w:spacing w:before="280" w:after="120"/>
      </w:pPr>
      <w:r>
        <w:rPr>
          <w:rFonts w:ascii="Inter" w:hAnsi="Inter" w:eastAsia="Alibaba PuHuiTi 2.0" w:cs="Alibaba PuHuiTi 2.0"/>
          <w:b/>
          <w:color w:val="0E1216"/>
          <w:sz w:val="56"/>
        </w:rPr>
        <w:t>二、本期建设范围</w:t>
      </w:r>
    </w:p>
    <w:p>
      <w:pPr>
        <w:spacing w:before="0" w:after="160" w:lineRule="auto" w:line="360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本期围绕七个功能版块展开建设，每个版块都直接对应贵司管理团队的一个具体痛点。</w:t>
      </w:r>
    </w:p>
    <w:tbl>
      <w:tblPr>
        <w:tblW w:type="dxa" w:w="8786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rPr>
          <w:tblHeader w:val="true"/>
        </w:trPr>
        <w:tc>
          <w:tcPr>
            <w:tcW w:type="dxa" w:w="2154"/>
            <w:vAlign w:val="center"/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tcBorders>
              <w:top w:val="none" w:sz="0" w:color="FFFFFF"/>
              <w:bottom w:val="single" w:sz="6" w:color="3EC99E"/>
              <w:left w:val="none" w:sz="0" w:color="FFFFFF"/>
              <w:right w:val="none" w:sz="0" w:color="FFFFFF"/>
            </w:tcBorders>
          </w:tcPr>
          <w:p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功能版块</w:t>
            </w:r>
          </w:p>
        </w:tc>
        <w:tc>
          <w:tcPr>
            <w:tcW w:type="dxa" w:w="6633"/>
            <w:vAlign w:val="center"/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tcBorders>
              <w:top w:val="none" w:sz="0" w:color="FFFFFF"/>
              <w:bottom w:val="single" w:sz="6" w:color="3EC99E"/>
              <w:left w:val="none" w:sz="0" w:color="FFFFFF"/>
              <w:right w:val="none" w:sz="0" w:color="FFFFFF"/>
            </w:tcBorders>
          </w:tcPr>
          <w:p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对 Vesuvius 的直接价值</w:t>
            </w:r>
          </w:p>
        </w:tc>
      </w:tr>
      <w:tr>
        <w:tc>
          <w:tcPr>
            <w:tcW w:type="dxa" w:w="2154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培训内容管理</w:t>
            </w:r>
          </w:p>
        </w:tc>
        <w:tc>
          <w:tcPr>
            <w:tcW w:type="dxa" w:w="6633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课程内容有人审核、有版本记录，确保员工看到的是已授权的最新版本</w:t>
            </w:r>
          </w:p>
        </w:tc>
      </w:tr>
      <w:tr>
        <w:tc>
          <w:tcPr>
            <w:tcW w:type="dxa" w:w="2154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课程部署</w:t>
            </w:r>
          </w:p>
        </w:tc>
        <w:tc>
          <w:tcPr>
            <w:tcW w:type="dxa" w:w="6633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每次培训都有明确责任人、截止时间和完成追踪，彻底告别微信群催促</w:t>
            </w:r>
          </w:p>
        </w:tc>
      </w:tr>
      <w:tr>
        <w:tc>
          <w:tcPr>
            <w:tcW w:type="dxa" w:w="2154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正负积分体系</w:t>
            </w:r>
          </w:p>
        </w:tc>
        <w:tc>
          <w:tcPr>
            <w:tcW w:type="dxa" w:w="6633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完成课程有奖励、逾期有约束，积分记录透明，驱动员工主动学习</w:t>
            </w:r>
          </w:p>
        </w:tc>
      </w:tr>
      <w:tr>
        <w:tc>
          <w:tcPr>
            <w:tcW w:type="dxa" w:w="2154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视频培训</w:t>
            </w:r>
          </w:p>
        </w:tc>
        <w:tc>
          <w:tcPr>
            <w:tcW w:type="dxa" w:w="6633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上传操作规程或安全演示视频，员工在线观看，系统自动记录完成状态</w:t>
            </w:r>
          </w:p>
        </w:tc>
      </w:tr>
      <w:tr>
        <w:tc>
          <w:tcPr>
            <w:tcW w:type="dxa" w:w="2154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培训矩阵</w:t>
            </w:r>
          </w:p>
        </w:tc>
        <w:tc>
          <w:tcPr>
            <w:tcW w:type="dxa" w:w="6633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一张实时视图展示所有员工的课程完成率，部门/岗位缺口一眼可见</w:t>
            </w:r>
          </w:p>
        </w:tc>
      </w:tr>
      <w:tr>
        <w:tc>
          <w:tcPr>
            <w:tcW w:type="dxa" w:w="2154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学习过程监督</w:t>
            </w:r>
          </w:p>
        </w:tc>
        <w:tc>
          <w:tcPr>
            <w:tcW w:type="dxa" w:w="6633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系统记录学习行为真实性，减少挂机和无效观看，保障培训数据可信度</w:t>
            </w:r>
          </w:p>
        </w:tc>
      </w:tr>
      <w:tr>
        <w:tc>
          <w:tcPr>
            <w:tcW w:type="dxa" w:w="2154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数据统计与台账</w:t>
            </w:r>
          </w:p>
        </w:tc>
        <w:tc>
          <w:tcPr>
            <w:tcW w:type="dxa" w:w="6633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完成报表、考试记录、积分明细一键导出，支持内部汇报与合规备查</w:t>
            </w:r>
          </w:p>
        </w:tc>
      </w:tr>
    </w:tbl>
    <w:p>
      <w:pPr>
        <w:spacing w:before="280" w:after="120"/>
      </w:pPr>
      <w:r>
        <w:rPr>
          <w:rFonts w:ascii="Inter" w:hAnsi="Inter" w:eastAsia="Alibaba PuHuiTi 2.0" w:cs="Alibaba PuHuiTi 2.0"/>
          <w:b/>
          <w:color w:val="0E1216"/>
          <w:sz w:val="56"/>
        </w:rPr>
        <w:t>三、功能方案</w:t>
      </w:r>
    </w:p>
    <w:p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3.1  培训内容管理</w:t>
      </w:r>
    </w:p>
    <w:p>
      <w:pPr>
        <w:spacing w:before="0" w:after="160" w:lineRule="auto" w:line="360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管理员可对课程内容持续维护，设置不同类型课程的完成规则，并通过审核流确保每门课程在正式发布前经过负责人确认。制度宣导类课程可设为"阅读确认即完成"；安全培训类课程可叠加"视频观看比例 + 考试通过"；版本记录确保每次改动都有据可查。</w:t>
      </w:r>
    </w:p>
    <w:tbl>
      <w:tblPr>
        <w:tblW w:type="dxa" w:w="8786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rPr>
          <w:tblHeader w:val="true"/>
        </w:trPr>
        <w:tc>
          <w:tcPr>
            <w:tcW w:type="dxa" w:w="2268"/>
            <w:vAlign w:val="center"/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tcBorders>
              <w:top w:val="none" w:sz="0" w:color="FFFFFF"/>
              <w:bottom w:val="single" w:sz="6" w:color="3EC99E"/>
              <w:left w:val="none" w:sz="0" w:color="FFFFFF"/>
              <w:right w:val="none" w:sz="0" w:color="FFFFFF"/>
            </w:tcBorders>
          </w:tcPr>
          <w:p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功能</w:t>
            </w:r>
          </w:p>
        </w:tc>
        <w:tc>
          <w:tcPr>
            <w:tcW w:type="dxa" w:w="6520"/>
            <w:vAlign w:val="center"/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tcBorders>
              <w:top w:val="none" w:sz="0" w:color="FFFFFF"/>
              <w:bottom w:val="single" w:sz="6" w:color="3EC99E"/>
              <w:left w:val="none" w:sz="0" w:color="FFFFFF"/>
              <w:right w:val="none" w:sz="0" w:color="FFFFFF"/>
            </w:tcBorders>
          </w:tcPr>
          <w:p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您将获得</w:t>
            </w:r>
          </w:p>
        </w:tc>
      </w:tr>
      <w:tr>
        <w:tc>
          <w:tcPr>
            <w:tcW w:type="dxa" w:w="2268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灵活的完成规则</w:t>
            </w:r>
          </w:p>
        </w:tc>
        <w:tc>
          <w:tcPr>
            <w:tcW w:type="dxa" w:w="6520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按课程类型分别配置：阅读确认 / 视频观看比例 / 考试通过，不强迫所有课程走同一套标准</w:t>
            </w:r>
          </w:p>
        </w:tc>
      </w:tr>
      <w:tr>
        <w:tc>
          <w:tcPr>
            <w:tcW w:type="dxa" w:w="2268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内容审核流</w:t>
            </w:r>
          </w:p>
        </w:tc>
        <w:tc>
          <w:tcPr>
            <w:tcW w:type="dxa" w:w="6520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课程正式发布前须经培训负责人审核，防止未授权内容失误发布到平台内部</w:t>
            </w:r>
          </w:p>
        </w:tc>
      </w:tr>
      <w:tr>
        <w:tc>
          <w:tcPr>
            <w:tcW w:type="dxa" w:w="2268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版本记录</w:t>
            </w:r>
          </w:p>
        </w:tc>
        <w:tc>
          <w:tcPr>
            <w:tcW w:type="dxa" w:w="6520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每次发布形成版本留痕，历史版本可追溯，迎检时有完整内容变更依据</w:t>
            </w:r>
          </w:p>
        </w:tc>
      </w:tr>
      <w:tr>
        <w:tc>
          <w:tcPr>
            <w:tcW w:type="dxa" w:w="2268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AI 辅助</w:t>
            </w:r>
          </w:p>
        </w:tc>
        <w:tc>
          <w:tcPr>
            <w:tcW w:type="dxa" w:w="6520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支持 AI 辅助生成知识点新建章节，考试题目支持 AI 辅助生成，大幅降低题库维护工作量</w:t>
            </w:r>
          </w:p>
        </w:tc>
      </w:tr>
    </w:tbl>
    <w:p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3.2  课程部署</w:t>
      </w:r>
    </w:p>
    <w:p>
      <w:pPr>
        <w:spacing w:before="0" w:after="160" w:lineRule="auto" w:line="360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课程部署是让培训从"资源库"变成"执行任务"的关键。管理员按部门、岗位或人员维度分配课程，设置截止时间和提醒规则后，系统自动追踪每个人的完成进度——谁完成了、谁逾期了、考试结果怎样，全部实时可查，无需手工汇总。</w:t>
      </w:r>
    </w:p>
    <w:tbl>
      <w:tblPr>
        <w:tblW w:type="dxa" w:w="8786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rPr>
          <w:tblHeader w:val="true"/>
        </w:trPr>
        <w:tc>
          <w:tcPr>
            <w:tcW w:type="dxa" w:w="2268"/>
            <w:vAlign w:val="center"/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tcBorders>
              <w:top w:val="none" w:sz="0" w:color="FFFFFF"/>
              <w:bottom w:val="single" w:sz="6" w:color="3EC99E"/>
              <w:left w:val="none" w:sz="0" w:color="FFFFFF"/>
              <w:right w:val="none" w:sz="0" w:color="FFFFFF"/>
            </w:tcBorders>
          </w:tcPr>
          <w:p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功能</w:t>
            </w:r>
          </w:p>
        </w:tc>
        <w:tc>
          <w:tcPr>
            <w:tcW w:type="dxa" w:w="6520"/>
            <w:vAlign w:val="center"/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tcBorders>
              <w:top w:val="none" w:sz="0" w:color="FFFFFF"/>
              <w:bottom w:val="single" w:sz="6" w:color="3EC99E"/>
              <w:left w:val="none" w:sz="0" w:color="FFFFFF"/>
              <w:right w:val="none" w:sz="0" w:color="FFFFFF"/>
            </w:tcBorders>
          </w:tcPr>
          <w:p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您将获得</w:t>
            </w:r>
          </w:p>
        </w:tc>
      </w:tr>
      <w:tr>
        <w:tc>
          <w:tcPr>
            <w:tcW w:type="dxa" w:w="2268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灵活的分配方式</w:t>
            </w:r>
          </w:p>
        </w:tc>
        <w:tc>
          <w:tcPr>
            <w:tcW w:type="dxa" w:w="6520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支持按员工、部门、岗位、职能、班组多维度分配，一次操作覆盖目标人群</w:t>
            </w:r>
          </w:p>
        </w:tc>
      </w:tr>
      <w:tr>
        <w:tc>
          <w:tcPr>
            <w:tcW w:type="dxa" w:w="2268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截止时间与提醒</w:t>
            </w:r>
          </w:p>
        </w:tc>
        <w:tc>
          <w:tcPr>
            <w:tcW w:type="dxa" w:w="6520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系统在临近截止时自动提醒未完成员工，逾期情况同步通知管理者</w:t>
            </w:r>
          </w:p>
        </w:tc>
      </w:tr>
      <w:tr>
        <w:tc>
          <w:tcPr>
            <w:tcW w:type="dxa" w:w="2268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实时完成追踪</w:t>
            </w:r>
          </w:p>
        </w:tc>
        <w:tc>
          <w:tcPr>
            <w:tcW w:type="dxa" w:w="6520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管理员随时查看当前部署的完成率、未完成人员清单与考试通过情况</w:t>
            </w:r>
          </w:p>
        </w:tc>
      </w:tr>
      <w:tr>
        <w:tc>
          <w:tcPr>
            <w:tcW w:type="dxa" w:w="2268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部署历史存档</w:t>
            </w:r>
          </w:p>
        </w:tc>
        <w:tc>
          <w:tcPr>
            <w:tcW w:type="dxa" w:w="6520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每次培训的对象、版本、完成情况长期留存，支持年度培训复盘与审查</w:t>
            </w:r>
          </w:p>
        </w:tc>
      </w:tr>
    </w:tbl>
    <w:p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3.3  正负积分体系</w:t>
      </w:r>
    </w:p>
    <w:p>
      <w:pPr>
        <w:spacing w:before="0" w:after="160" w:lineRule="auto" w:line="360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积分体系以数据化方式建立轻量级激励和约束，代替反复的行政催促。完成课程自动加分，逾期自动扣分，每一笔积分流水都有明细可查——员工看得到自己的表现，管理者看得到团队的整体参与度。后续如有需要，积分数据可直接扩展为学习排行榜或年度激励评选的依据。</w:t>
      </w:r>
    </w:p>
    <w:tbl>
      <w:tblPr>
        <w:tblW w:type="dxa" w:w="8786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rPr>
          <w:tblHeader w:val="true"/>
        </w:trPr>
        <w:tc>
          <w:tcPr>
            <w:tcW w:type="dxa" w:w="2551"/>
            <w:vAlign w:val="center"/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tcBorders>
              <w:top w:val="none" w:sz="0" w:color="FFFFFF"/>
              <w:bottom w:val="single" w:sz="6" w:color="3EC99E"/>
              <w:left w:val="none" w:sz="0" w:color="FFFFFF"/>
              <w:right w:val="none" w:sz="0" w:color="FFFFFF"/>
            </w:tcBorders>
          </w:tcPr>
          <w:p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积分规则</w:t>
            </w:r>
          </w:p>
        </w:tc>
        <w:tc>
          <w:tcPr>
            <w:tcW w:type="dxa" w:w="3402"/>
            <w:vAlign w:val="center"/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tcBorders>
              <w:top w:val="none" w:sz="0" w:color="FFFFFF"/>
              <w:bottom w:val="single" w:sz="6" w:color="3EC99E"/>
              <w:left w:val="none" w:sz="0" w:color="FFFFFF"/>
              <w:right w:val="none" w:sz="0" w:color="FFFFFF"/>
            </w:tcBorders>
          </w:tcPr>
          <w:p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员工视角</w:t>
            </w:r>
          </w:p>
        </w:tc>
        <w:tc>
          <w:tcPr>
            <w:tcW w:type="dxa" w:w="2835"/>
            <w:vAlign w:val="center"/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tcBorders>
              <w:top w:val="none" w:sz="0" w:color="FFFFFF"/>
              <w:bottom w:val="single" w:sz="6" w:color="3EC99E"/>
              <w:left w:val="none" w:sz="0" w:color="FFFFFF"/>
              <w:right w:val="none" w:sz="0" w:color="FFFFFF"/>
            </w:tcBorders>
          </w:tcPr>
          <w:p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管理者视角</w:t>
            </w:r>
          </w:p>
        </w:tc>
      </w:tr>
      <w:tr>
        <w:tc>
          <w:tcPr>
            <w:tcW w:type="dxa" w:w="2551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完成课程 / 考试通过</w:t>
            </w:r>
          </w:p>
        </w:tc>
        <w:tc>
          <w:tcPr>
            <w:tcW w:type="dxa" w:w="3402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个人积分实时增加，可查看积分明细</w:t>
            </w:r>
          </w:p>
        </w:tc>
        <w:tc>
          <w:tcPr>
            <w:tcW w:type="dxa" w:w="2835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整体参与度提升，无需反复催促</w:t>
            </w:r>
          </w:p>
        </w:tc>
      </w:tr>
      <w:tr>
        <w:tc>
          <w:tcPr>
            <w:tcW w:type="dxa" w:w="2551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课程逾期 / 考试未过</w:t>
            </w:r>
          </w:p>
        </w:tc>
        <w:tc>
          <w:tcPr>
            <w:tcW w:type="dxa" w:w="3402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收到系统提示，清楚了解扣分原因</w:t>
            </w:r>
          </w:p>
        </w:tc>
        <w:tc>
          <w:tcPr>
            <w:tcW w:type="dxa" w:w="2835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逾期记录可导出，支持部门绩效参考</w:t>
            </w:r>
          </w:p>
        </w:tc>
      </w:tr>
      <w:tr>
        <w:tc>
          <w:tcPr>
            <w:tcW w:type="dxa" w:w="2551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活动奖励 / 人工调整</w:t>
            </w:r>
          </w:p>
        </w:tc>
        <w:tc>
          <w:tcPr>
            <w:tcW w:type="dxa" w:w="3402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积分变动有通知，透明公正</w:t>
            </w:r>
          </w:p>
        </w:tc>
        <w:tc>
          <w:tcPr>
            <w:tcW w:type="dxa" w:w="2835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管理端可补发或纠错，全程留审计日志</w:t>
            </w:r>
          </w:p>
        </w:tc>
      </w:tr>
    </w:tbl>
    <w:p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3.4  视频培训</w:t>
      </w:r>
    </w:p>
    <w:p>
      <w:pPr>
        <w:spacing w:before="0" w:after="160" w:lineRule="auto" w:line="360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管理员可在课程章节中上传操作规程、安全培训演示或设备维护视频，员工通过 PC 或手机浏览器在线观看。系统实时记录每位员工的观看进度，可配置"观看达到指定比例方可完成课程"，确保视频培训留有真实记录而非仅标注已观看。</w:t>
      </w:r>
    </w:p>
    <w:tbl>
      <w:tblPr>
        <w:tblW w:type="dxa" w:w="8786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rPr>
          <w:tblHeader w:val="true"/>
        </w:trPr>
        <w:tc>
          <w:tcPr>
            <w:tcW w:type="dxa" w:w="2268"/>
            <w:vAlign w:val="center"/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tcBorders>
              <w:top w:val="none" w:sz="0" w:color="FFFFFF"/>
              <w:bottom w:val="single" w:sz="6" w:color="3EC99E"/>
              <w:left w:val="none" w:sz="0" w:color="FFFFFF"/>
              <w:right w:val="none" w:sz="0" w:color="FFFFFF"/>
            </w:tcBorders>
          </w:tcPr>
          <w:p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功能</w:t>
            </w:r>
          </w:p>
        </w:tc>
        <w:tc>
          <w:tcPr>
            <w:tcW w:type="dxa" w:w="6520"/>
            <w:vAlign w:val="center"/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tcBorders>
              <w:top w:val="none" w:sz="0" w:color="FFFFFF"/>
              <w:bottom w:val="single" w:sz="6" w:color="3EC99E"/>
              <w:left w:val="none" w:sz="0" w:color="FFFFFF"/>
              <w:right w:val="none" w:sz="0" w:color="FFFFFF"/>
            </w:tcBorders>
          </w:tcPr>
          <w:p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您将获得</w:t>
            </w:r>
          </w:p>
        </w:tc>
      </w:tr>
      <w:tr>
        <w:tc>
          <w:tcPr>
            <w:tcW w:type="dxa" w:w="2268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在线上传与播放</w:t>
            </w:r>
          </w:p>
        </w:tc>
        <w:tc>
          <w:tcPr>
            <w:tcW w:type="dxa" w:w="6520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视频直接上传至课程，员工无需下载，PC / 手机浏览器均可播放</w:t>
            </w:r>
          </w:p>
        </w:tc>
      </w:tr>
      <w:tr>
        <w:tc>
          <w:tcPr>
            <w:tcW w:type="dxa" w:w="2268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断点续播</w:t>
            </w:r>
          </w:p>
        </w:tc>
        <w:tc>
          <w:tcPr>
            <w:tcW w:type="dxa" w:w="6520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员工上次观看到哪里，下次自动从断点继续，不影响碎片化学习</w:t>
            </w:r>
          </w:p>
        </w:tc>
      </w:tr>
      <w:tr>
        <w:tc>
          <w:tcPr>
            <w:tcW w:type="dxa" w:w="2268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观看进度记录</w:t>
            </w:r>
          </w:p>
        </w:tc>
        <w:tc>
          <w:tcPr>
            <w:tcW w:type="dxa" w:w="6520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系统记录实际观看比例，课程完成判断基于真实数据而非点击记录</w:t>
            </w:r>
          </w:p>
        </w:tc>
      </w:tr>
      <w:tr>
        <w:tc>
          <w:tcPr>
            <w:tcW w:type="dxa" w:w="2268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播放控制</w:t>
            </w:r>
          </w:p>
        </w:tc>
        <w:tc>
          <w:tcPr>
            <w:tcW w:type="dxa" w:w="6520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可配置是否允许拖拽进度条，防止员工跳过关键内容直接标记完成</w:t>
            </w:r>
          </w:p>
        </w:tc>
      </w:tr>
    </w:tbl>
    <w:p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3.5  培训矩阵</w:t>
      </w:r>
    </w:p>
    <w:p>
      <w:pPr>
        <w:spacing w:before="0" w:after="160" w:lineRule="auto" w:line="360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培训矩阵解决的是"每次想了解培训覆盖情况，都要从头拉数据、手工处理 Excel"的问题。它是一张始终在线、实时更新的全员培训视图，管理者可以按部门、岗位或培训状态快速筛选，一眼定位需要关注的人员或课程，并支持一键导出。</w:t>
      </w:r>
    </w:p>
    <w:tbl>
      <w:tblPr>
        <w:tblW w:type="dxa" w:w="8786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rPr>
          <w:tblHeader w:val="true"/>
        </w:trPr>
        <w:tc>
          <w:tcPr>
            <w:tcW w:type="dxa" w:w="1587"/>
            <w:vAlign w:val="center"/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tcBorders>
              <w:top w:val="none" w:sz="0" w:color="FFFFFF"/>
              <w:bottom w:val="single" w:sz="6" w:color="3EC99E"/>
              <w:left w:val="none" w:sz="0" w:color="FFFFFF"/>
              <w:right w:val="none" w:sz="0" w:color="FFFFFF"/>
            </w:tcBorders>
          </w:tcPr>
          <w:p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视角</w:t>
            </w:r>
          </w:p>
        </w:tc>
        <w:tc>
          <w:tcPr>
            <w:tcW w:type="dxa" w:w="4649"/>
            <w:vAlign w:val="center"/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tcBorders>
              <w:top w:val="none" w:sz="0" w:color="FFFFFF"/>
              <w:bottom w:val="single" w:sz="6" w:color="3EC99E"/>
              <w:left w:val="none" w:sz="0" w:color="FFFFFF"/>
              <w:right w:val="none" w:sz="0" w:color="FFFFFF"/>
            </w:tcBorders>
          </w:tcPr>
          <w:p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可以看到什么</w:t>
            </w:r>
          </w:p>
        </w:tc>
        <w:tc>
          <w:tcPr>
            <w:tcW w:type="dxa" w:w="2551"/>
            <w:vAlign w:val="center"/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tcBorders>
              <w:top w:val="none" w:sz="0" w:color="FFFFFF"/>
              <w:bottom w:val="single" w:sz="6" w:color="3EC99E"/>
              <w:left w:val="none" w:sz="0" w:color="FFFFFF"/>
              <w:right w:val="none" w:sz="0" w:color="FFFFFF"/>
            </w:tcBorders>
          </w:tcPr>
          <w:p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典型场景</w:t>
            </w:r>
          </w:p>
        </w:tc>
      </w:tr>
      <w:tr>
        <w:tc>
          <w:tcPr>
            <w:tcW w:type="dxa" w:w="1587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员工个人</w:t>
            </w:r>
          </w:p>
        </w:tc>
        <w:tc>
          <w:tcPr>
            <w:tcW w:type="dxa" w:w="4649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已完成哪些课程、还有哪些未完成、当前积分</w:t>
            </w:r>
          </w:p>
        </w:tc>
        <w:tc>
          <w:tcPr>
            <w:tcW w:type="dxa" w:w="2551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员工自主了解学习任务进度</w:t>
            </w:r>
          </w:p>
        </w:tc>
      </w:tr>
      <w:tr>
        <w:tc>
          <w:tcPr>
            <w:tcW w:type="dxa" w:w="1587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部门负责人</w:t>
            </w:r>
          </w:p>
        </w:tc>
        <w:tc>
          <w:tcPr>
            <w:tcW w:type="dxa" w:w="4649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本部门完成率、逾期人数、课程通过率</w:t>
            </w:r>
          </w:p>
        </w:tc>
        <w:tc>
          <w:tcPr>
            <w:tcW w:type="dxa" w:w="2551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月度培训汇报，无需手工统计</w:t>
            </w:r>
          </w:p>
        </w:tc>
      </w:tr>
      <w:tr>
        <w:tc>
          <w:tcPr>
            <w:tcW w:type="dxa" w:w="1587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培训管理者</w:t>
            </w:r>
          </w:p>
        </w:tc>
        <w:tc>
          <w:tcPr>
            <w:tcW w:type="dxa" w:w="4649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跨部门/岗位的完成缺口、课程执行效果对比</w:t>
            </w:r>
          </w:p>
        </w:tc>
        <w:tc>
          <w:tcPr>
            <w:tcW w:type="dxa" w:w="2551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安全检查前快速准备培训台账</w:t>
            </w:r>
          </w:p>
        </w:tc>
      </w:tr>
    </w:tbl>
    <w:p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3.6  数据统计与台账</w:t>
      </w:r>
    </w:p>
    <w:p>
      <w:pPr>
        <w:spacing w:before="0" w:after="160" w:lineRule="auto" w:line="360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平台将课程完成、考试结果、积分变动、视频观看记录统一汇聚，支持按员工、部门、岗位或时间段多维度导出。无论是月度内部汇报、年度安全培训统计，还是迎接政府安全检查或 ISO 审核，都能在几分钟内生成一份完整的数字台账。</w:t>
      </w:r>
    </w:p>
    <w:tbl>
      <w:tblPr>
        <w:tblW w:type="dxa" w:w="8786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rPr>
          <w:tblHeader w:val="true"/>
        </w:trPr>
        <w:tc>
          <w:tcPr>
            <w:tcW w:type="dxa" w:w="2381"/>
            <w:vAlign w:val="center"/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tcBorders>
              <w:top w:val="none" w:sz="0" w:color="FFFFFF"/>
              <w:bottom w:val="single" w:sz="6" w:color="3EC99E"/>
              <w:left w:val="none" w:sz="0" w:color="FFFFFF"/>
              <w:right w:val="none" w:sz="0" w:color="FFFFFF"/>
            </w:tcBorders>
          </w:tcPr>
          <w:p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报表类型</w:t>
            </w:r>
          </w:p>
        </w:tc>
        <w:tc>
          <w:tcPr>
            <w:tcW w:type="dxa" w:w="6406"/>
            <w:vAlign w:val="center"/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tcBorders>
              <w:top w:val="none" w:sz="0" w:color="FFFFFF"/>
              <w:bottom w:val="single" w:sz="6" w:color="3EC99E"/>
              <w:left w:val="none" w:sz="0" w:color="FFFFFF"/>
              <w:right w:val="none" w:sz="0" w:color="FFFFFF"/>
            </w:tcBorders>
          </w:tcPr>
          <w:p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典型用途</w:t>
            </w:r>
          </w:p>
        </w:tc>
      </w:tr>
      <w:tr>
        <w:tc>
          <w:tcPr>
            <w:tcW w:type="dxa" w:w="2381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培训完成报表</w:t>
            </w:r>
          </w:p>
        </w:tc>
        <w:tc>
          <w:tcPr>
            <w:tcW w:type="dxa" w:w="6406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日常执行管理；按部门/岗位汇总完成率，快速定位缺口</w:t>
            </w:r>
          </w:p>
        </w:tc>
      </w:tr>
      <w:tr>
        <w:tc>
          <w:tcPr>
            <w:tcW w:type="dxa" w:w="2381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考试结果报表</w:t>
            </w:r>
          </w:p>
        </w:tc>
        <w:tc>
          <w:tcPr>
            <w:tcW w:type="dxa" w:w="6406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评估学习效果；识别需要补训的员工</w:t>
            </w:r>
          </w:p>
        </w:tc>
      </w:tr>
      <w:tr>
        <w:tc>
          <w:tcPr>
            <w:tcW w:type="dxa" w:w="2381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积分明细报表</w:t>
            </w:r>
          </w:p>
        </w:tc>
        <w:tc>
          <w:tcPr>
            <w:tcW w:type="dxa" w:w="6406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积分核查与管理复核；支持绩效参考数据导出</w:t>
            </w:r>
          </w:p>
        </w:tc>
      </w:tr>
      <w:tr>
        <w:tc>
          <w:tcPr>
            <w:tcW w:type="dxa" w:w="2381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视频学习记录</w:t>
            </w:r>
          </w:p>
        </w:tc>
        <w:tc>
          <w:tcPr>
            <w:tcW w:type="dxa" w:w="6406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视频课程完成判断依据；满足合规留痕要求</w:t>
            </w:r>
          </w:p>
        </w:tc>
      </w:tr>
      <w:tr>
        <w:tc>
          <w:tcPr>
            <w:tcW w:type="dxa" w:w="2381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培训台账导出</w:t>
            </w:r>
          </w:p>
        </w:tc>
        <w:tc>
          <w:tcPr>
            <w:tcW w:type="dxa" w:w="6406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迎检备查；ESG 培训覆盖数据出口；年度培训统计</w:t>
            </w:r>
          </w:p>
        </w:tc>
      </w:tr>
    </w:tbl>
    <w:p>
      <w:pPr>
        <w:spacing w:before="280" w:after="120"/>
      </w:pPr>
      <w:r>
        <w:rPr>
          <w:rFonts w:ascii="Inter" w:hAnsi="Inter" w:eastAsia="Alibaba PuHuiTi 2.0" w:cs="Alibaba PuHuiTi 2.0"/>
          <w:b/>
          <w:color w:val="0E1216"/>
          <w:sz w:val="56"/>
        </w:rPr>
        <w:t>四、双方团队分工</w:t>
      </w:r>
    </w:p>
    <w:p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4.1  任务清单与工作界面</w:t>
      </w:r>
    </w:p>
    <w:p>
      <w:pPr>
        <w:spacing w:before="0" w:after="160" w:lineRule="auto" w:line="360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项目执行期间，双方团队在各阶段均有明确的责任边界。以下任务清单列出了每项工作的分工，确保推进有序、不产生责任盲区。</w:t>
      </w:r>
    </w:p>
    <w:tbl>
      <w:tblPr>
        <w:tblW w:type="dxa" w:w="8786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624"/>
            <w:vAlign w:val="center"/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tcBorders>
              <w:top w:val="none" w:sz="0" w:color="FFFFFF"/>
              <w:bottom w:val="single" w:sz="6" w:color="3EC99E"/>
              <w:left w:val="none" w:sz="0" w:color="FFFFFF"/>
              <w:right w:val="none" w:sz="0" w:color="FFFFFF"/>
            </w:tcBorders>
          </w:tcPr>
          <w:p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编号</w:t>
            </w:r>
          </w:p>
        </w:tc>
        <w:tc>
          <w:tcPr>
            <w:tcW w:type="dxa" w:w="1587"/>
            <w:vAlign w:val="center"/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tcBorders>
              <w:top w:val="none" w:sz="0" w:color="FFFFFF"/>
              <w:bottom w:val="single" w:sz="6" w:color="3EC99E"/>
              <w:left w:val="none" w:sz="0" w:color="FFFFFF"/>
              <w:right w:val="none" w:sz="0" w:color="FFFFFF"/>
            </w:tcBorders>
          </w:tcPr>
          <w:p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任务描述</w:t>
            </w:r>
          </w:p>
        </w:tc>
        <w:tc>
          <w:tcPr>
            <w:tcW w:type="dxa" w:w="3685"/>
            <w:vAlign w:val="center"/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tcBorders>
              <w:top w:val="none" w:sz="0" w:color="FFFFFF"/>
              <w:bottom w:val="single" w:sz="6" w:color="3EC99E"/>
              <w:left w:val="none" w:sz="0" w:color="FFFFFF"/>
              <w:right w:val="none" w:sz="0" w:color="FFFFFF"/>
            </w:tcBorders>
          </w:tcPr>
          <w:p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甲方（Vesuvius）职责</w:t>
            </w:r>
          </w:p>
        </w:tc>
        <w:tc>
          <w:tcPr>
            <w:tcW w:type="dxa" w:w="2891"/>
            <w:vAlign w:val="center"/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tcBorders>
              <w:top w:val="none" w:sz="0" w:color="FFFFFF"/>
              <w:bottom w:val="single" w:sz="6" w:color="3EC99E"/>
              <w:left w:val="none" w:sz="0" w:color="FFFFFF"/>
              <w:right w:val="none" w:sz="0" w:color="FFFFFF"/>
            </w:tcBorders>
          </w:tcPr>
          <w:p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我方职责</w:t>
            </w:r>
          </w:p>
        </w:tc>
      </w:tr>
      <w:tr>
        <w:tc>
          <w:tcPr>
            <w:tcW w:type="dxa" w:w="624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1</w:t>
            </w:r>
          </w:p>
        </w:tc>
        <w:tc>
          <w:tcPr>
            <w:tcW w:type="dxa" w:w="1587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需求确认</w:t>
            </w:r>
          </w:p>
        </w:tc>
        <w:tc>
          <w:tcPr>
            <w:tcW w:type="dxa" w:w="3685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确认功能范围与角色权限；指定培训负责人作为项目对接人；审批我方给予的完整需求清单</w:t>
            </w:r>
          </w:p>
        </w:tc>
        <w:tc>
          <w:tcPr>
            <w:tcW w:type="dxa" w:w="2891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输出需求清单、主要页面原型及双方认可的验收标准</w:t>
            </w:r>
          </w:p>
        </w:tc>
      </w:tr>
      <w:tr>
        <w:tc>
          <w:tcPr>
            <w:tcW w:type="dxa" w:w="624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2</w:t>
            </w:r>
          </w:p>
        </w:tc>
        <w:tc>
          <w:tcPr>
            <w:tcW w:type="dxa" w:w="1587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数据与组织准备</w:t>
            </w:r>
          </w:p>
        </w:tc>
        <w:tc>
          <w:tcPr>
            <w:tcW w:type="dxa" w:w="3685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提供员工花名册及部门/岗位层级数据；确认课程分类体系与初始管理权限分配</w:t>
            </w:r>
          </w:p>
        </w:tc>
        <w:tc>
          <w:tcPr>
            <w:tcW w:type="dxa" w:w="2891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完成组织架构导入、账号初始化及角色权限体系配置</w:t>
            </w:r>
          </w:p>
        </w:tc>
      </w:tr>
      <w:tr>
        <w:tc>
          <w:tcPr>
            <w:tcW w:type="dxa" w:w="624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3</w:t>
            </w:r>
          </w:p>
        </w:tc>
        <w:tc>
          <w:tcPr>
            <w:tcW w:type="dxa" w:w="1587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功能开发</w:t>
            </w:r>
          </w:p>
        </w:tc>
        <w:tc>
          <w:tcPr>
            <w:tcW w:type="dxa" w:w="3685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提供部分课程内容（文档/视频/其他格式）；对原型方案进行业务评审</w:t>
            </w:r>
          </w:p>
        </w:tc>
        <w:tc>
          <w:tcPr>
            <w:tcW w:type="dxa" w:w="2891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开发七大功能模块，每周固定进度同步，问题当周响应</w:t>
            </w:r>
          </w:p>
        </w:tc>
      </w:tr>
      <w:tr>
        <w:tc>
          <w:tcPr>
            <w:tcW w:type="dxa" w:w="624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4</w:t>
            </w:r>
          </w:p>
        </w:tc>
        <w:tc>
          <w:tcPr>
            <w:tcW w:type="dxa" w:w="1587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系统内测</w:t>
            </w:r>
          </w:p>
        </w:tc>
        <w:tc>
          <w:tcPr>
            <w:tcW w:type="dxa" w:w="3685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组织 HR 及培训管理员参与内测，提供真实场景操作反馈</w:t>
            </w:r>
          </w:p>
        </w:tc>
        <w:tc>
          <w:tcPr>
            <w:tcW w:type="dxa" w:w="2891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根据反馈修复问题并完成回归测试，确保功能符合验收标准</w:t>
            </w:r>
          </w:p>
        </w:tc>
      </w:tr>
      <w:tr>
        <w:tc>
          <w:tcPr>
            <w:tcW w:type="dxa" w:w="624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5</w:t>
            </w:r>
          </w:p>
        </w:tc>
        <w:tc>
          <w:tcPr>
            <w:tcW w:type="dxa" w:w="1587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上线验收</w:t>
            </w:r>
          </w:p>
        </w:tc>
        <w:tc>
          <w:tcPr>
            <w:tcW w:type="dxa" w:w="3685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组织管理员正式验收，确认系统满足建设目标后签署验收确认</w:t>
            </w:r>
          </w:p>
        </w:tc>
        <w:tc>
          <w:tcPr>
            <w:tcW w:type="dxa" w:w="2891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提供管理员培训、学员端操作手册及完整交付文件</w:t>
            </w:r>
          </w:p>
        </w:tc>
      </w:tr>
      <w:tr>
        <w:tc>
          <w:tcPr>
            <w:tcW w:type="dxa" w:w="624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6</w:t>
            </w:r>
          </w:p>
        </w:tc>
        <w:tc>
          <w:tcPr>
            <w:tcW w:type="dxa" w:w="1587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上线后运维</w:t>
            </w:r>
          </w:p>
        </w:tc>
        <w:tc>
          <w:tcPr>
            <w:tcW w:type="dxa" w:w="3685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指定系统管理员负责日常运营；统一收集并反馈优化需求</w:t>
            </w:r>
          </w:p>
        </w:tc>
        <w:tc>
          <w:tcPr>
            <w:tcW w:type="dxa" w:w="2891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提供上线后 1 年免费维护，功能问题响应时间不超过 1 个工作日</w:t>
            </w:r>
          </w:p>
        </w:tc>
      </w:tr>
    </w:tbl>
    <w:p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4.2  初步项目进度安排</w:t>
      </w:r>
    </w:p>
    <w:p>
      <w:pPr>
        <w:spacing w:before="0" w:after="160" w:lineRule="auto" w:line="360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标准版初步建设周期约 8 周，按五个阶段有序推进：</w:t>
      </w:r>
    </w:p>
    <w:tbl>
      <w:tblPr>
        <w:tblW w:type="dxa" w:w="8786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1247"/>
            <w:vAlign w:val="center"/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tcBorders>
              <w:top w:val="none" w:sz="0" w:color="FFFFFF"/>
              <w:bottom w:val="single" w:sz="6" w:color="3EC99E"/>
              <w:left w:val="none" w:sz="0" w:color="FFFFFF"/>
              <w:right w:val="none" w:sz="0" w:color="FFFFFF"/>
            </w:tcBorders>
          </w:tcPr>
          <w:p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阶段</w:t>
            </w:r>
          </w:p>
        </w:tc>
        <w:tc>
          <w:tcPr>
            <w:tcW w:type="dxa" w:w="907"/>
            <w:vAlign w:val="center"/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tcBorders>
              <w:top w:val="none" w:sz="0" w:color="FFFFFF"/>
              <w:bottom w:val="single" w:sz="6" w:color="3EC99E"/>
              <w:left w:val="none" w:sz="0" w:color="FFFFFF"/>
              <w:right w:val="none" w:sz="0" w:color="FFFFFF"/>
            </w:tcBorders>
          </w:tcPr>
          <w:p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周次</w:t>
            </w:r>
          </w:p>
        </w:tc>
        <w:tc>
          <w:tcPr>
            <w:tcW w:type="dxa" w:w="3175"/>
            <w:vAlign w:val="center"/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tcBorders>
              <w:top w:val="none" w:sz="0" w:color="FFFFFF"/>
              <w:bottom w:val="single" w:sz="6" w:color="3EC99E"/>
              <w:left w:val="none" w:sz="0" w:color="FFFFFF"/>
              <w:right w:val="none" w:sz="0" w:color="FFFFFF"/>
            </w:tcBorders>
          </w:tcPr>
          <w:p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涉及职能</w:t>
            </w:r>
          </w:p>
        </w:tc>
        <w:tc>
          <w:tcPr>
            <w:tcW w:type="dxa" w:w="3458"/>
            <w:vAlign w:val="center"/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tcBorders>
              <w:top w:val="none" w:sz="0" w:color="FFFFFF"/>
              <w:bottom w:val="single" w:sz="6" w:color="3EC99E"/>
              <w:left w:val="none" w:sz="0" w:color="FFFFFF"/>
              <w:right w:val="none" w:sz="0" w:color="FFFFFF"/>
            </w:tcBorders>
          </w:tcPr>
          <w:p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里程碑 / 交付物</w:t>
            </w:r>
          </w:p>
        </w:tc>
      </w:tr>
      <w:tr>
        <w:tc>
          <w:tcPr>
            <w:tcW w:type="dxa" w:w="1247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需求确认</w:t>
            </w:r>
          </w:p>
        </w:tc>
        <w:tc>
          <w:tcPr>
            <w:tcW w:type="dxa" w:w="907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第 1 周</w:t>
            </w:r>
          </w:p>
        </w:tc>
        <w:tc>
          <w:tcPr>
            <w:tcW w:type="dxa" w:w="3175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产品经理 · 甲方培训负责人</w:t>
            </w:r>
          </w:p>
        </w:tc>
        <w:tc>
          <w:tcPr>
            <w:tcW w:type="dxa" w:w="3458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需求清单、权限矩阵、验收口径</w:t>
            </w:r>
          </w:p>
        </w:tc>
      </w:tr>
      <w:tr>
        <w:tc>
          <w:tcPr>
            <w:tcW w:type="dxa" w:w="1247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原型设计</w:t>
            </w:r>
          </w:p>
        </w:tc>
        <w:tc>
          <w:tcPr>
            <w:tcW w:type="dxa" w:w="907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第 2 周</w:t>
            </w:r>
          </w:p>
        </w:tc>
        <w:tc>
          <w:tcPr>
            <w:tcW w:type="dxa" w:w="3175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产品经理 · UI 设计师</w:t>
            </w:r>
          </w:p>
        </w:tc>
        <w:tc>
          <w:tcPr>
            <w:tcW w:type="dxa" w:w="3458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主要页面原型，双方评审确认</w:t>
            </w:r>
          </w:p>
        </w:tc>
      </w:tr>
      <w:tr>
        <w:tc>
          <w:tcPr>
            <w:tcW w:type="dxa" w:w="1247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功能开发</w:t>
            </w:r>
          </w:p>
        </w:tc>
        <w:tc>
          <w:tcPr>
            <w:tcW w:type="dxa" w:w="907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第 3–6 周</w:t>
            </w:r>
          </w:p>
        </w:tc>
        <w:tc>
          <w:tcPr>
            <w:tcW w:type="dxa" w:w="3175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前端 · 后端 · 数据工程师</w:t>
            </w:r>
          </w:p>
        </w:tc>
        <w:tc>
          <w:tcPr>
            <w:tcW w:type="dxa" w:w="3458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七大功能模块可联调版本</w:t>
            </w:r>
          </w:p>
        </w:tc>
      </w:tr>
      <w:tr>
        <w:tc>
          <w:tcPr>
            <w:tcW w:type="dxa" w:w="1247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测试与修复</w:t>
            </w:r>
          </w:p>
        </w:tc>
        <w:tc>
          <w:tcPr>
            <w:tcW w:type="dxa" w:w="907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第 7 周</w:t>
            </w:r>
          </w:p>
        </w:tc>
        <w:tc>
          <w:tcPr>
            <w:tcW w:type="dxa" w:w="3175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测试工程师 · 甲方内测团队</w:t>
            </w:r>
          </w:p>
        </w:tc>
        <w:tc>
          <w:tcPr>
            <w:tcW w:type="dxa" w:w="3458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测试记录、修复清单、权限与报表验证</w:t>
            </w:r>
          </w:p>
        </w:tc>
      </w:tr>
      <w:tr>
        <w:tc>
          <w:tcPr>
            <w:tcW w:type="dxa" w:w="1247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上线验收</w:t>
            </w:r>
          </w:p>
        </w:tc>
        <w:tc>
          <w:tcPr>
            <w:tcW w:type="dxa" w:w="907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第 8 周</w:t>
            </w:r>
          </w:p>
        </w:tc>
        <w:tc>
          <w:tcPr>
            <w:tcW w:type="dxa" w:w="3175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产品经理 · 实施顾问</w:t>
            </w:r>
          </w:p>
        </w:tc>
        <w:tc>
          <w:tcPr>
            <w:tcW w:type="dxa" w:w="3458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验收版本 · 管理员培训 · 操作手册</w:t>
            </w:r>
          </w:p>
        </w:tc>
      </w:tr>
    </w:tbl>
    <w:p>
      <w:pPr>
        <w:spacing w:before="280" w:after="120"/>
      </w:pPr>
      <w:r>
        <w:rPr>
          <w:rFonts w:ascii="Inter" w:hAnsi="Inter" w:eastAsia="Alibaba PuHuiTi 2.0" w:cs="Alibaba PuHuiTi 2.0"/>
          <w:b/>
          <w:color w:val="0E1216"/>
          <w:sz w:val="56"/>
        </w:rPr>
        <w:t>五、报价方案</w:t>
      </w:r>
    </w:p>
    <w:p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5.1  席位规划说明</w:t>
      </w:r>
    </w:p>
    <w:p>
      <w:pPr>
        <w:spacing w:before="0" w:after="160" w:lineRule="auto" w:line="360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贵司全国共 2,500 名员工，其中 500 名办公室人员有固定电脑，2,000 名为一线员工且流动率较高。针对两类人群的使用场景差异，我方建议采用"分层席位"模型——分别为两类人群提供匹配其实际需求的访问权限与账号管理方式，避免为一线员工支付不必要的高功能溢价，同时保障管理侧的完整数据视图。</w:t>
      </w:r>
    </w:p>
    <w:tbl>
      <w:tblPr>
        <w:tblW w:type="dxa" w:w="8786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587"/>
            <w:vAlign w:val="center"/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tcBorders>
              <w:top w:val="none" w:sz="0" w:color="FFFFFF"/>
              <w:bottom w:val="single" w:sz="6" w:color="3EC99E"/>
              <w:left w:val="none" w:sz="0" w:color="FFFFFF"/>
              <w:right w:val="none" w:sz="0" w:color="FFFFFF"/>
            </w:tcBorders>
          </w:tcPr>
          <w:p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席位类型</w:t>
            </w:r>
          </w:p>
        </w:tc>
        <w:tc>
          <w:tcPr>
            <w:tcW w:type="dxa" w:w="1247"/>
            <w:vAlign w:val="center"/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tcBorders>
              <w:top w:val="none" w:sz="0" w:color="FFFFFF"/>
              <w:bottom w:val="single" w:sz="6" w:color="3EC99E"/>
              <w:left w:val="none" w:sz="0" w:color="FFFFFF"/>
              <w:right w:val="none" w:sz="0" w:color="FFFFFF"/>
            </w:tcBorders>
          </w:tcPr>
          <w:p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适用人群</w:t>
            </w:r>
          </w:p>
        </w:tc>
        <w:tc>
          <w:tcPr>
            <w:tcW w:type="dxa" w:w="1247"/>
            <w:vAlign w:val="center"/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tcBorders>
              <w:top w:val="none" w:sz="0" w:color="FFFFFF"/>
              <w:bottom w:val="single" w:sz="6" w:color="3EC99E"/>
              <w:left w:val="none" w:sz="0" w:color="FFFFFF"/>
              <w:right w:val="none" w:sz="0" w:color="FFFFFF"/>
            </w:tcBorders>
          </w:tcPr>
          <w:p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访问方式</w:t>
            </w:r>
          </w:p>
        </w:tc>
        <w:tc>
          <w:tcPr>
            <w:tcW w:type="dxa" w:w="3118"/>
            <w:vAlign w:val="center"/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tcBorders>
              <w:top w:val="none" w:sz="0" w:color="FFFFFF"/>
              <w:bottom w:val="single" w:sz="6" w:color="3EC99E"/>
              <w:left w:val="none" w:sz="0" w:color="FFFFFF"/>
              <w:right w:val="none" w:sz="0" w:color="FFFFFF"/>
            </w:tcBorders>
          </w:tcPr>
          <w:p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核心功能</w:t>
            </w:r>
          </w:p>
        </w:tc>
        <w:tc>
          <w:tcPr>
            <w:tcW w:type="dxa" w:w="1587"/>
            <w:vAlign w:val="center"/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tcBorders>
              <w:top w:val="none" w:sz="0" w:color="FFFFFF"/>
              <w:bottom w:val="single" w:sz="6" w:color="3EC99E"/>
              <w:left w:val="none" w:sz="0" w:color="FFFFFF"/>
              <w:right w:val="none" w:sz="0" w:color="FFFFFF"/>
            </w:tcBorders>
          </w:tcPr>
          <w:p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账号管理</w:t>
            </w:r>
          </w:p>
        </w:tc>
      </w:tr>
      <w:tr>
        <w:tc>
          <w:tcPr>
            <w:tcW w:type="dxa" w:w="1587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A 类 · 全功能席位</w:t>
            </w:r>
          </w:p>
        </w:tc>
        <w:tc>
          <w:tcPr>
            <w:tcW w:type="dxa" w:w="1247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办公室人员</w:t>
              <w:br/>
              <w:t>500 人</w:t>
            </w:r>
          </w:p>
        </w:tc>
        <w:tc>
          <w:tcPr>
            <w:tcW w:type="dxa" w:w="1247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PC + 移动端</w:t>
            </w:r>
          </w:p>
        </w:tc>
        <w:tc>
          <w:tcPr>
            <w:tcW w:type="dxa" w:w="3118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全部功能，含 AI 辅助、高级报表、完整管理权限</w:t>
            </w:r>
          </w:p>
        </w:tc>
        <w:tc>
          <w:tcPr>
            <w:tcW w:type="dxa" w:w="1587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固定命名账号，长期有效</w:t>
            </w:r>
          </w:p>
        </w:tc>
      </w:tr>
      <w:tr>
        <w:tc>
          <w:tcPr>
            <w:tcW w:type="dxa" w:w="1587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B 类 · 流动席位池</w:t>
            </w:r>
          </w:p>
        </w:tc>
        <w:tc>
          <w:tcPr>
            <w:tcW w:type="dxa" w:w="1247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一线员工</w:t>
              <w:br/>
              <w:t>2,000 人额度</w:t>
            </w:r>
          </w:p>
        </w:tc>
        <w:tc>
          <w:tcPr>
            <w:tcW w:type="dxa" w:w="1247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移动端为主</w:t>
            </w:r>
          </w:p>
        </w:tc>
        <w:tc>
          <w:tcPr>
            <w:tcW w:type="dxa" w:w="3118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视频培训、课程完成、考试、积分、基础台账导出</w:t>
            </w:r>
          </w:p>
        </w:tc>
        <w:tc>
          <w:tcPr>
            <w:tcW w:type="dxa" w:w="1587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支持快速回收再分配，离职账号可复用给新员工，无需额外付费</w:t>
            </w:r>
          </w:p>
        </w:tc>
      </w:tr>
    </w:tbl>
    <w:p>
      <w:pPr>
        <w:spacing w:before="80" w:after="80"/>
        <w:ind w:left="160" w:right="160"/>
        <w:pBdr>
          <w:left w:val="single" w:sz="24" w:space="12" w:color="3EC99E"/>
        </w:pBdr>
        <w:shd w:val="clear" w:color="auto" w:fill="F2F3F5"/>
      </w:pPr>
      <w:r>
        <w:rPr>
          <w:rFonts w:ascii="Inter" w:hAnsi="Inter" w:eastAsia="Alibaba PuHuiTi 2.0" w:cs="Alibaba PuHuiTi 2.0"/>
          <w:b/>
          <w:color w:val="3EC99E"/>
          <w:sz w:val="19"/>
        </w:rPr>
        <w:t xml:space="preserve">流动席位说明  </w:t>
      </w:r>
      <w:r>
        <w:rPr>
          <w:rFonts w:ascii="Inter" w:hAnsi="Inter" w:eastAsia="Alibaba PuHuiTi 2.0" w:cs="Alibaba PuHuiTi 2.0"/>
          <w:color w:val="8A9199"/>
          <w:sz w:val="19"/>
        </w:rPr>
        <w:t>流动席位池的核心价值在于：当一线员工离职后，该账号可被管理员一键回收并重新分配给新入职员工，而不占用新的席位额度。这意味着无论年流动人数是 500 人还是1,000 人，席位费用始终固定——贵司只需为"2,000 个同时在册的一线学习席位"付费。</w:t>
      </w:r>
    </w:p>
    <w:p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5.2  费用明细</w:t>
      </w:r>
    </w:p>
    <w:p>
      <w:pPr>
        <w:spacing w:before="0" w:after="160" w:lineRule="auto" w:line="360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以下报价基于贵司 2,500 人规模（500 名全功能席位 + 2,000 名流动席位池）制定，含全功能部署、实施落地及上线后 1 年技术支持与免费维护服务。</w:t>
      </w:r>
    </w:p>
    <w:tbl>
      <w:tblPr>
        <w:tblW w:type="dxa" w:w="8786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814"/>
            <w:vAlign w:val="center"/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tcBorders>
              <w:top w:val="none" w:sz="0" w:color="FFFFFF"/>
              <w:bottom w:val="single" w:sz="6" w:color="3EC99E"/>
              <w:left w:val="none" w:sz="0" w:color="FFFFFF"/>
              <w:right w:val="none" w:sz="0" w:color="FFFFFF"/>
            </w:tcBorders>
          </w:tcPr>
          <w:p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费用项目</w:t>
            </w:r>
          </w:p>
        </w:tc>
        <w:tc>
          <w:tcPr>
            <w:tcW w:type="dxa" w:w="2948"/>
            <w:vAlign w:val="center"/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tcBorders>
              <w:top w:val="none" w:sz="0" w:color="FFFFFF"/>
              <w:bottom w:val="single" w:sz="6" w:color="3EC99E"/>
              <w:left w:val="none" w:sz="0" w:color="FFFFFF"/>
              <w:right w:val="none" w:sz="0" w:color="FFFFFF"/>
            </w:tcBorders>
          </w:tcPr>
          <w:p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说明</w:t>
            </w:r>
          </w:p>
        </w:tc>
        <w:tc>
          <w:tcPr>
            <w:tcW w:type="dxa" w:w="1247"/>
            <w:vAlign w:val="center"/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tcBorders>
              <w:top w:val="none" w:sz="0" w:color="FFFFFF"/>
              <w:bottom w:val="single" w:sz="6" w:color="3EC99E"/>
              <w:left w:val="none" w:sz="0" w:color="FFFFFF"/>
              <w:right w:val="none" w:sz="0" w:color="FFFFFF"/>
            </w:tcBorders>
          </w:tcPr>
          <w:p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规格</w:t>
            </w:r>
          </w:p>
        </w:tc>
        <w:tc>
          <w:tcPr>
            <w:tcW w:type="dxa" w:w="1474"/>
            <w:vAlign w:val="center"/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tcBorders>
              <w:top w:val="none" w:sz="0" w:color="FFFFFF"/>
              <w:bottom w:val="single" w:sz="6" w:color="3EC99E"/>
              <w:left w:val="none" w:sz="0" w:color="FFFFFF"/>
              <w:right w:val="none" w:sz="0" w:color="FFFFFF"/>
            </w:tcBorders>
          </w:tcPr>
          <w:p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单价</w:t>
            </w:r>
          </w:p>
        </w:tc>
        <w:tc>
          <w:tcPr>
            <w:tcW w:type="dxa" w:w="1304"/>
            <w:vAlign w:val="center"/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tcBorders>
              <w:top w:val="none" w:sz="0" w:color="FFFFFF"/>
              <w:bottom w:val="single" w:sz="6" w:color="3EC99E"/>
              <w:left w:val="none" w:sz="0" w:color="FFFFFF"/>
              <w:right w:val="none" w:sz="0" w:color="FFFFFF"/>
            </w:tcBorders>
          </w:tcPr>
          <w:p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金额（元）</w:t>
            </w:r>
          </w:p>
        </w:tc>
      </w:tr>
      <w:tr>
        <w:tc>
          <w:tcPr>
            <w:tcW w:type="dxa" w:w="1814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A 类席位年费</w:t>
            </w:r>
          </w:p>
        </w:tc>
        <w:tc>
          <w:tcPr>
            <w:tcW w:type="dxa" w:w="2948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办公室人员，全功能访问</w:t>
            </w:r>
          </w:p>
        </w:tc>
        <w:tc>
          <w:tcPr>
            <w:tcW w:type="dxa" w:w="1247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500 人/年</w:t>
            </w:r>
          </w:p>
        </w:tc>
        <w:tc>
          <w:tcPr>
            <w:tcW w:type="dxa" w:w="1474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¥160 / 人 / 年</w:t>
            </w:r>
          </w:p>
        </w:tc>
        <w:tc>
          <w:tcPr>
            <w:tcW w:type="dxa" w:w="1304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¥ 80,000</w:t>
            </w:r>
          </w:p>
        </w:tc>
      </w:tr>
      <w:tr>
        <w:tc>
          <w:tcPr>
            <w:tcW w:type="dxa" w:w="1814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B 类席位池年费</w:t>
            </w:r>
          </w:p>
        </w:tc>
        <w:tc>
          <w:tcPr>
            <w:tcW w:type="dxa" w:w="2948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一线员工，流动席位池</w:t>
            </w:r>
          </w:p>
        </w:tc>
        <w:tc>
          <w:tcPr>
            <w:tcW w:type="dxa" w:w="1247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2,000 额度 / 年</w:t>
            </w:r>
          </w:p>
        </w:tc>
        <w:tc>
          <w:tcPr>
            <w:tcW w:type="dxa" w:w="1474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¥30 / 额度 / 年</w:t>
            </w:r>
          </w:p>
        </w:tc>
        <w:tc>
          <w:tcPr>
            <w:tcW w:type="dxa" w:w="1304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¥ 60,000</w:t>
            </w:r>
          </w:p>
        </w:tc>
      </w:tr>
      <w:tr>
        <w:tc>
          <w:tcPr>
            <w:tcW w:type="dxa" w:w="1814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实施部署费（一次性）</w:t>
            </w:r>
          </w:p>
        </w:tc>
        <w:tc>
          <w:tcPr>
            <w:tcW w:type="dxa" w:w="2948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平台配置 · 组织架构导入 · 权限初始化 · 管理员培训（含 1 年免费维护）</w:t>
            </w:r>
          </w:p>
        </w:tc>
        <w:tc>
          <w:tcPr>
            <w:tcW w:type="dxa" w:w="1247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1 次</w:t>
            </w:r>
          </w:p>
        </w:tc>
        <w:tc>
          <w:tcPr>
            <w:tcW w:type="dxa" w:w="1474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—</w:t>
            </w:r>
          </w:p>
        </w:tc>
        <w:tc>
          <w:tcPr>
            <w:tcW w:type="dxa" w:w="1304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¥ 38,000</w:t>
            </w:r>
          </w:p>
        </w:tc>
      </w:tr>
      <w:tr>
        <w:tc>
          <w:tcPr>
            <w:tcW w:type="dxa" w:w="1814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年度技术支持</w:t>
            </w:r>
          </w:p>
        </w:tc>
        <w:tc>
          <w:tcPr>
            <w:tcW w:type="dxa" w:w="2948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Bug 修复 · 版本升级 · 工单响应（1 个工作日）</w:t>
            </w:r>
          </w:p>
        </w:tc>
        <w:tc>
          <w:tcPr>
            <w:tcW w:type="dxa" w:w="1247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含于席位年费</w:t>
            </w:r>
          </w:p>
        </w:tc>
        <w:tc>
          <w:tcPr>
            <w:tcW w:type="dxa" w:w="1474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—</w:t>
            </w:r>
          </w:p>
        </w:tc>
        <w:tc>
          <w:tcPr>
            <w:tcW w:type="dxa" w:w="1304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含  税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5669"/>
            <w:shd w:val="clear" w:color="auto" w:fill="F2F3F5"/>
            <w:tcBorders>
              <w:top w:val="single" w:sz="4" w:color="D0D5DD"/>
              <w:bottom w:val="none" w:sz="0" w:color="FFFFFF"/>
              <w:left w:val="none" w:sz="0" w:color="FFFFFF"/>
              <w:right w:val="none" w:sz="0" w:color="FFFFFF"/>
            </w:tcBorders>
          </w:tcPr>
          <w:p>
            <w:pPr>
              <w:spacing w:before="160" w:after="80"/>
              <w:ind w:left="200"/>
            </w:pPr>
            <w:r>
              <w:rPr>
                <w:rFonts w:ascii="Inter" w:hAnsi="Inter" w:eastAsia="Alibaba PuHuiTi 2.0" w:cs="Alibaba PuHuiTi 2.0"/>
                <w:b/>
                <w:color w:val="0E1216"/>
                <w:sz w:val="22"/>
              </w:rPr>
              <w:t>第一年合计（含实施费）</w:t>
            </w:r>
          </w:p>
        </w:tc>
        <w:tc>
          <w:tcPr>
            <w:tcW w:type="dxa" w:w="3118"/>
            <w:shd w:val="clear" w:color="auto" w:fill="F2F3F5"/>
            <w:tcBorders>
              <w:top w:val="single" w:sz="4" w:color="D0D5DD"/>
              <w:bottom w:val="none" w:sz="0" w:color="FFFFFF"/>
              <w:left w:val="none" w:sz="0" w:color="FFFFFF"/>
              <w:right w:val="none" w:sz="0" w:color="FFFFFF"/>
            </w:tcBorders>
          </w:tcPr>
          <w:p>
            <w:pPr>
              <w:spacing w:before="160" w:after="80"/>
              <w:ind w:right="200"/>
              <w:jc w:val="right"/>
            </w:pPr>
            <w:r>
              <w:rPr>
                <w:rFonts w:ascii="Inter" w:hAnsi="Inter" w:eastAsia="Alibaba PuHuiTi 2.0" w:cs="Alibaba PuHuiTi 2.0"/>
                <w:b/>
                <w:color w:val="3EC99E"/>
                <w:sz w:val="28"/>
              </w:rPr>
              <w:t>¥ 178,000</w:t>
            </w:r>
          </w:p>
        </w:tc>
      </w:tr>
      <w:tr>
        <w:tc>
          <w:tcPr>
            <w:tcW w:type="dxa" w:w="5669"/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80" w:after="160"/>
              <w:ind w:left="20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第二年起年度续费</w:t>
            </w:r>
          </w:p>
        </w:tc>
        <w:tc>
          <w:tcPr>
            <w:tcW w:type="dxa" w:w="3118"/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80" w:after="160"/>
              <w:ind w:right="200"/>
              <w:jc w:val="right"/>
            </w:pPr>
            <w:r>
              <w:rPr>
                <w:rFonts w:ascii="Inter" w:hAnsi="Inter" w:eastAsia="Alibaba PuHuiTi 2.0" w:cs="Alibaba PuHuiTi 2.0"/>
                <w:b/>
                <w:color w:val="3D444A"/>
                <w:sz w:val="22"/>
              </w:rPr>
              <w:t>¥ 140,000 / 年</w:t>
            </w:r>
          </w:p>
        </w:tc>
      </w:tr>
    </w:tbl>
    <w:p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5.3  报价说明</w:t>
      </w:r>
    </w:p>
    <w:tbl>
      <w:tblPr>
        <w:tblW w:type="dxa" w:w="8786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rPr>
          <w:tblHeader w:val="true"/>
        </w:trPr>
        <w:tc>
          <w:tcPr>
            <w:tcW w:type="dxa" w:w="1984"/>
            <w:vAlign w:val="center"/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tcBorders>
              <w:top w:val="none" w:sz="0" w:color="FFFFFF"/>
              <w:bottom w:val="single" w:sz="6" w:color="3EC99E"/>
              <w:left w:val="none" w:sz="0" w:color="FFFFFF"/>
              <w:right w:val="none" w:sz="0" w:color="FFFFFF"/>
            </w:tcBorders>
          </w:tcPr>
          <w:p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条款</w:t>
            </w:r>
          </w:p>
        </w:tc>
        <w:tc>
          <w:tcPr>
            <w:tcW w:type="dxa" w:w="6803"/>
            <w:vAlign w:val="center"/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tcBorders>
              <w:top w:val="none" w:sz="0" w:color="FFFFFF"/>
              <w:bottom w:val="single" w:sz="6" w:color="3EC99E"/>
              <w:left w:val="none" w:sz="0" w:color="FFFFFF"/>
              <w:right w:val="none" w:sz="0" w:color="FFFFFF"/>
            </w:tcBorders>
          </w:tcPr>
          <w:p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说明</w:t>
            </w:r>
          </w:p>
        </w:tc>
      </w:tr>
      <w:tr>
        <w:tc>
          <w:tcPr>
            <w:tcW w:type="dxa" w:w="1984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价格说明</w:t>
            </w:r>
          </w:p>
        </w:tc>
        <w:tc>
          <w:tcPr>
            <w:tcW w:type="dxa" w:w="6803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以上报价均为不含税价，开具增值税专用发票（税率 6%）</w:t>
            </w:r>
          </w:p>
        </w:tc>
      </w:tr>
      <w:tr>
        <w:tc>
          <w:tcPr>
            <w:tcW w:type="dxa" w:w="1984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有效期</w:t>
            </w:r>
          </w:p>
        </w:tc>
        <w:tc>
          <w:tcPr>
            <w:tcW w:type="dxa" w:w="6803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本报价自文件出具之日起 60 个自然日内有效</w:t>
            </w:r>
          </w:p>
        </w:tc>
      </w:tr>
      <w:tr>
        <w:tc>
          <w:tcPr>
            <w:tcW w:type="dxa" w:w="1984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长期合作优惠</w:t>
            </w:r>
          </w:p>
        </w:tc>
        <w:tc>
          <w:tcPr>
            <w:tcW w:type="dxa" w:w="6803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若合同期签署 2 年，第 2 年席位年费享九五折优惠（¥133,000 / 年）</w:t>
            </w:r>
          </w:p>
        </w:tc>
      </w:tr>
      <w:tr>
        <w:tc>
          <w:tcPr>
            <w:tcW w:type="dxa" w:w="1984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席位调整</w:t>
            </w:r>
          </w:p>
        </w:tc>
        <w:tc>
          <w:tcPr>
            <w:tcW w:type="dxa" w:w="6803"/>
            <w:vAlign w:val="center"/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合同期内如办公室人员规模发生变化，可按实际人数等比调整 A 类席位费用</w:t>
            </w:r>
          </w:p>
        </w:tc>
      </w:tr>
      <w:tr>
        <w:tc>
          <w:tcPr>
            <w:tcW w:type="dxa" w:w="1984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增项服务</w:t>
            </w:r>
          </w:p>
        </w:tc>
        <w:tc>
          <w:tcPr>
            <w:tcW w:type="dxa" w:w="6803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  <w:tcBorders>
              <w:top w:val="none" w:sz="0" w:color="FFFFFF"/>
              <w:bottom w:val="single" w:sz="4" w:color="D0D5DD"/>
              <w:left w:val="none" w:sz="0" w:color="FFFFFF"/>
              <w:right w:val="none" w:sz="0" w:color="FFFFFF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API 对接贵司 HR 系统、特种作业证书管理模块等可作为增项单独报价</w:t>
            </w:r>
          </w:p>
        </w:tc>
      </w:tr>
    </w:tbl>
    <w:p/>
    <w:p>
      <w:pPr>
        <w:spacing w:before="80" w:after="80"/>
        <w:ind w:left="160" w:right="160"/>
        <w:pBdr>
          <w:left w:val="single" w:sz="24" w:space="12" w:color="3EC99E"/>
        </w:pBdr>
        <w:shd w:val="clear" w:color="auto" w:fill="F2F3F5"/>
      </w:pPr>
      <w:r>
        <w:rPr>
          <w:rFonts w:ascii="Inter" w:hAnsi="Inter" w:eastAsia="Alibaba PuHuiTi 2.0" w:cs="Alibaba PuHuiTi 2.0"/>
          <w:b/>
          <w:color w:val="3EC99E"/>
          <w:sz w:val="19"/>
        </w:rPr>
        <w:t xml:space="preserve">联系我们  </w:t>
      </w:r>
      <w:r>
        <w:rPr>
          <w:rFonts w:ascii="Inter" w:hAnsi="Inter" w:eastAsia="Alibaba PuHuiTi 2.0" w:cs="Alibaba PuHuiTi 2.0"/>
          <w:color w:val="8A9199"/>
          <w:sz w:val="19"/>
        </w:rPr>
        <w:t>我们已为 Vesuvius 中国区预留了专项资源，欢迎随时安排平台演示或技术对话。期待与贵团队开始这段合作。</w:t>
      </w:r>
    </w:p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365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</w:tcPr>
          <w:p>
            <w:pPr>
              <w:spacing w:before="100" w:after="10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公司名称：</w:t>
            </w: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未来方舟（上海）科技有限公司</w:t>
            </w:r>
          </w:p>
        </w:tc>
        <w:tc>
          <w:tcPr>
            <w:tcW w:type="dxa" w:w="4365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</w:tcPr>
          <w:p>
            <w:pPr>
              <w:spacing w:before="100" w:after="10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</w:r>
            <w:r>
              <w:rPr>
                <w:rFonts w:ascii="Inter" w:hAnsi="Inter" w:eastAsia="Alibaba PuHuiTi 2.0" w:cs="Alibaba PuHuiTi 2.0"/>
                <w:color w:val="3D444A"/>
                <w:sz w:val="21"/>
              </w:rPr>
            </w:r>
          </w:p>
        </w:tc>
      </w:tr>
      <w:tr>
        <w:tc>
          <w:tcPr>
            <w:tcW w:type="dxa" w:w="4365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</w:tcPr>
          <w:p>
            <w:pPr>
              <w:spacing w:before="100" w:after="10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授权签字：</w:t>
            </w: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＿＿＿＿＿＿＿＿＿＿＿＿</w:t>
            </w:r>
          </w:p>
        </w:tc>
        <w:tc>
          <w:tcPr>
            <w:tcW w:type="dxa" w:w="4365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</w:tcPr>
          <w:p>
            <w:pPr>
              <w:spacing w:before="100" w:after="10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公司盖章：</w:t>
            </w: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（公章）</w:t>
            </w:r>
          </w:p>
        </w:tc>
      </w:tr>
      <w:tr>
        <w:tc>
          <w:tcPr>
            <w:tcW w:type="dxa" w:w="4365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</w:tcPr>
          <w:p>
            <w:pPr>
              <w:spacing w:before="100" w:after="10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出具日期：</w:t>
            </w: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 xml:space="preserve">     年      月      日</w:t>
            </w:r>
          </w:p>
        </w:tc>
        <w:tc>
          <w:tcPr>
            <w:tcW w:type="dxa" w:w="4365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</w:tcPr>
          <w:p>
            <w:pPr>
              <w:spacing w:before="100" w:after="10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</w:r>
            <w:r>
              <w:rPr>
                <w:rFonts w:ascii="Inter" w:hAnsi="Inter" w:eastAsia="Alibaba PuHuiTi 2.0" w:cs="Alibaba PuHuiTi 2.0"/>
                <w:color w:val="3D444A"/>
                <w:sz w:val="21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567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4394"/>
      <w:gridCol w:w="4394"/>
    </w:tblGrid>
    <w:tr>
      <w:tc>
        <w:tcPr>
          <w:tcW w:type="dxa" w:w="4394"/>
          <w:tcBorders>
            <w:top w:val="single" w:sz="4" w:color="D0D5DD"/>
            <w:bottom w:val="none" w:sz="0" w:color="FFFFFF"/>
            <w:left w:val="none" w:sz="0" w:color="FFFFFF"/>
            <w:right w:val="none" w:sz="0" w:color="FFFFFF"/>
          </w:tcBorders>
        </w:tcPr>
        <w:p>
          <w:pPr>
            <w:spacing w:before="60"/>
          </w:pPr>
          <w:r>
            <w:rPr>
              <w:rFonts w:ascii="Inter" w:hAnsi="Inter" w:eastAsia="PingFang SC"/>
              <w:color w:val="8A9199"/>
              <w:sz w:val="16"/>
            </w:rPr>
            <w:t>未来方舟（上海）科技有限公司</w:t>
          </w:r>
        </w:p>
      </w:tc>
      <w:tc>
        <w:tcPr>
          <w:tcW w:type="dxa" w:w="4394"/>
          <w:tcBorders>
            <w:top w:val="single" w:sz="4" w:color="D0D5DD"/>
            <w:bottom w:val="none" w:sz="0" w:color="FFFFFF"/>
            <w:left w:val="none" w:sz="0" w:color="FFFFFF"/>
            <w:right w:val="none" w:sz="0" w:color="FFFFFF"/>
          </w:tcBorders>
        </w:tcPr>
        <w:p>
          <w:pPr>
            <w:spacing w:before="60"/>
            <w:jc w:val="right"/>
          </w:pPr>
          <w:r>
            <w:rPr>
              <w:rFonts w:ascii="Inter" w:hAnsi="Inter" w:eastAsia="PingFang SC"/>
              <w:i/>
              <w:color w:val="8A9199"/>
              <w:sz w:val="15"/>
            </w:rPr>
            <w:t>机密文件 · 仅供 Vesuvius 中国区内部参阅</w:t>
          </w:r>
        </w:p>
      </w:tc>
    </w:tr>
  </w:tbl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jc w:val="center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6073"/>
      <w:gridCol w:w="2455"/>
    </w:tblGrid>
    <w:tr w14:paraId="6B21E740">
      <w:trPr>
        <w:jc w:val="center"/>
      </w:trPr>
      <w:tc>
        <w:tcPr>
          <w:tcW w:w="6236" w:type="dxa"/>
          <w:tcBorders>
            <w:top w:val="nil"/>
            <w:left w:val="nil"/>
            <w:bottom w:val="single" w:color="3EC99E" w:sz="6" w:space="0"/>
            <w:right w:val="nil"/>
          </w:tcBorders>
          <w:vAlign w:val="center"/>
        </w:tcPr>
        <w:p w14:paraId="003BD7FA">
          <w:pPr>
            <w:spacing w:before="0" w:after="0"/>
            <w:jc w:val="left"/>
            <w:rPr>
              <w:rFonts w:hint="eastAsia" w:eastAsia="SimSun"/>
              <w:lang w:eastAsia="zh-CN"/>
            </w:rPr>
          </w:pPr>
          <w:r>
            <w:rPr>
              <w:rFonts w:hint="eastAsia" w:eastAsia="SimSun"/>
              <w:lang w:eastAsia="zh-CN"/>
            </w:rPr>
            <w:drawing>
              <wp:inline distT="0" distB="0" distL="114300" distR="114300">
                <wp:extent cx="1483360" cy="376555"/>
                <wp:effectExtent l="0" t="0" r="0" b="0"/>
                <wp:docPr id="4" name="Picture 4" descr="logo-horizontal-primar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-horizontal-primary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3360" cy="3765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1" w:type="dxa"/>
          <w:tcBorders>
            <w:top w:val="nil"/>
            <w:left w:val="nil"/>
            <w:bottom w:val="single" w:color="3EC99E" w:sz="6" w:space="0"/>
            <w:right w:val="nil"/>
          </w:tcBorders>
          <w:vAlign w:val="center"/>
        </w:tcPr>
        <w:p w14:paraId="21715E7B">
          <w:pPr>
            <w:spacing w:before="100"/>
            <w:jc w:val="right"/>
          </w:pPr>
          <w:r>
            <w:rPr>
              <w:rFonts w:ascii="Inter" w:hAnsi="Inter" w:eastAsia="PingFang SC"/>
              <w:color w:val="8A9199"/>
              <w:sz w:val="16"/>
            </w:rPr>
            <w:t>解决方案建议书</w:t>
          </w:r>
        </w:p>
      </w:tc>
    </w:tr>
  </w:tbl>
  <w:p w14:paraId="63DDE5CE"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Inter" w:hAnsi="Inter" w:eastAsia="Alibaba PuHuiTi 2.0" w:cs="Alibaba PuHuiTi 2.0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rFonts w:eastAsia="Alibaba PuHuiTi 2.0"/>
    <w:name w:val="Normal"/>
    <w:qFormat/>
    <w:rsid w:val="00FC693F"/>
    <w:rPr>
      <w:rFonts w:ascii="Inter" w:hAnsi="Inte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