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56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0"/>
            </w:pPr>
            <w:r>
              <w:rPr>
                <w:rFonts w:ascii="Inter" w:hAnsi="Inter" w:eastAsia="Alibaba PuHuiTi 2.0" w:cs="Alibaba PuHuiTi 2.0"/>
                <w:color w:val="8A9199"/>
                <w:sz w:val="16"/>
              </w:rPr>
              <w:t>S O L U T I O N   P R O P O S A L</w:t>
            </w:r>
          </w:p>
        </w:tc>
        <w:tc>
          <w:tcPr>
            <w:tcW w:type="dxa" w:w="3118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6"/>
              </w:rPr>
              <w:t>机密文件，仅供内部参阅</w:t>
            </w:r>
          </w:p>
        </w:tc>
      </w:tr>
    </w:tbl>
    <w:p>
      <w:pPr>
        <w:spacing w:before="200" w:after="0"/>
        <w:pBdr>
          <w:bottom w:val="single" w:sz="12" w:space="1" w:color="3EC99E"/>
        </w:pBdr>
      </w:pPr>
    </w:p>
    <w:p>
      <w:pPr>
        <w:spacing w:after="0"/>
      </w:pPr>
    </w:p>
    <w:p>
      <w:pPr>
        <w:spacing w:after="0"/>
      </w:pPr>
    </w:p>
    <w:p>
      <w:pPr>
        <w:spacing w:before="0" w:after="400"/>
        <w:jc w:val="center"/>
      </w:pPr>
      <w:r>
        <w:rPr>
          <w:rFonts w:ascii="Inter" w:hAnsi="Inter" w:eastAsia="Alibaba PuHuiTi 2.0" w:cs="Alibaba PuHuiTi 2.0"/>
        </w:rPr>
        <w:drawing>
          <wp:inline xmlns:a="http://schemas.openxmlformats.org/drawingml/2006/main" xmlns:pic="http://schemas.openxmlformats.org/drawingml/2006/picture">
            <wp:extent cx="2088000" cy="1472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SUVIUS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72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left"/>
      </w:pPr>
      <w:r>
        <w:rPr>
          <w:rFonts w:ascii="Inter" w:hAnsi="Inter" w:eastAsia="Alibaba PuHuiTi 2.0" w:cs="Alibaba PuHuiTi 2.0"/>
          <w:b/>
          <w:color w:val="0E1216"/>
          <w:sz w:val="52"/>
        </w:rPr>
        <w:t>企业培训平台功能增强建设建议书</w:t>
      </w:r>
    </w:p>
    <w:p>
      <w:pPr>
        <w:spacing w:before="0" w:after="80"/>
        <w:jc w:val="left"/>
      </w:pPr>
      <w:r>
        <w:rPr>
          <w:rFonts w:ascii="Inter" w:hAnsi="Inter" w:eastAsia="Alibaba PuHuiTi 2.0" w:cs="Alibaba PuHuiTi 2.0"/>
          <w:color w:val="8A9199"/>
          <w:sz w:val="22"/>
        </w:rPr>
        <w:t>Enterprise Training Platform Enhancement Proposal</w:t>
      </w:r>
    </w:p>
    <w:p>
      <w:pPr>
        <w:spacing w:before="40" w:after="0"/>
        <w:jc w:val="left"/>
        <w:shd w:val="clear" w:color="auto" w:fill="F2F3F5"/>
      </w:pPr>
      <w:r>
        <w:rPr>
          <w:rFonts w:ascii="Inter" w:hAnsi="Inter" w:eastAsia="Alibaba PuHuiTi 2.0" w:cs="Alibaba PuHuiTi 2.0"/>
          <w:color w:val="3D444A"/>
          <w:sz w:val="19"/>
        </w:rPr>
        <w:t xml:space="preserve">   培训内容管理  ·  课程部署  ·  积分激励  ·  视频培训  ·  培训矩阵  ·  数据台账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tcBorders>
              <w:top w:val="single" w:sz="4" w:color="D0D5DD"/>
              <w:bottom w:val="none" w:sz="0" w:color="FFFFFF"/>
              <w:left w:val="none" w:sz="0" w:color="FFFFFF"/>
              <w:right w:val="none" w:sz="0" w:color="FFFFFF"/>
            </w:tcBorders>
            <w:vAlign w:val="top"/>
          </w:tcPr>
          <w:p>
            <w:pPr>
              <w:spacing w:before="200" w:after="80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6"/>
              </w:rPr>
              <w:t>提交至</w:t>
            </w:r>
          </w:p>
          <w:p>
            <w:pPr>
              <w:spacing w:before="0" w:after="2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1"/>
              </w:rPr>
              <w:t>维苏威高级陶瓷（中国）有限公司</w:t>
            </w:r>
          </w:p>
          <w:p>
            <w:pPr>
              <w:spacing w:before="0" w:after="20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（总部及核心办公室）</w:t>
            </w:r>
          </w:p>
          <w:p>
            <w:pPr>
              <w:spacing w:before="0" w:after="20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江苏省苏州市工业园区星明街 221 号</w:t>
            </w:r>
          </w:p>
        </w:tc>
        <w:tc>
          <w:tcPr>
            <w:tcW w:type="dxa" w:w="4252"/>
            <w:tcBorders>
              <w:top w:val="single" w:sz="4" w:color="D0D5DD"/>
              <w:bottom w:val="none" w:sz="0" w:color="FFFFFF"/>
              <w:left w:val="none" w:sz="0" w:color="FFFFFF"/>
              <w:right w:val="none" w:sz="0" w:color="FFFFFF"/>
            </w:tcBorders>
            <w:vAlign w:val="top"/>
          </w:tcPr>
          <w:p>
            <w:pPr>
              <w:spacing w:before="200" w:after="80"/>
              <w:jc w:val="right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6"/>
              </w:rPr>
              <w:t>提交方</w:t>
            </w:r>
          </w:p>
          <w:p>
            <w:pPr>
              <w:spacing w:before="0" w:after="80"/>
              <w:jc w:val="right"/>
            </w:pPr>
            <w:r>
              <w:rPr>
                <w:rFonts w:ascii="Inter" w:hAnsi="Inter" w:eastAsia="Alibaba PuHuiTi 2.0" w:cs="Alibaba PuHuiTi 2.0"/>
              </w:rPr>
              <w:drawing>
                <wp:inline xmlns:a="http://schemas.openxmlformats.org/drawingml/2006/main" xmlns:pic="http://schemas.openxmlformats.org/drawingml/2006/picture">
                  <wp:extent cx="1152000" cy="2921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2921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right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未来方舟（上海）科技有限公司</w:t>
            </w:r>
          </w:p>
          <w:p>
            <w:pPr>
              <w:spacing w:before="0" w:after="20"/>
              <w:jc w:val="righ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上海漕河泾创业中心大厦（桂平路）302 栋</w:t>
            </w:r>
          </w:p>
        </w:tc>
      </w:tr>
    </w:tbl>
    <w:p>
      <w:pPr>
        <w:spacing w:before="280" w:after="0"/>
        <w:jc w:val="right"/>
      </w:pPr>
      <w:r>
        <w:rPr>
          <w:rFonts w:ascii="Inter" w:hAnsi="Inter" w:eastAsia="Alibaba PuHuiTi 2.0" w:cs="Alibaba PuHuiTi 2.0"/>
          <w:color w:val="8A9199"/>
          <w:sz w:val="18"/>
        </w:rPr>
        <w:t>2026 年 6 月</w:t>
      </w:r>
    </w:p>
    <w:p>
      <w:pPr>
        <w:spacing w:before="0" w:after="0"/>
      </w:pPr>
      <w:r>
        <w:rPr>
          <w:rFonts w:ascii="Inter" w:hAnsi="Inter" w:eastAsia="Alibaba PuHuiTi 2.0" w:cs="Alibaba PuHuiTi 2.0"/>
        </w:rPr>
        <w:br w:type="page"/>
      </w:r>
    </w:p>
    <w:p>
      <w:pPr>
        <w:spacing w:before="0" w:after="320"/>
      </w:pPr>
      <w:r>
        <w:rPr>
          <w:rFonts w:ascii="Inter" w:hAnsi="Inter" w:eastAsia="Alibaba PuHuiTi 2.0" w:cs="Alibaba PuHuiTi 2.0"/>
          <w:b/>
          <w:color w:val="0E1216"/>
          <w:sz w:val="40"/>
        </w:rPr>
        <w:t>目  录</w:t>
      </w:r>
    </w:p>
    <w:p>
      <w:pPr>
        <w:spacing w:before="0" w:after="400"/>
        <w:pBdr>
          <w:bottom w:val="single" w:sz="6" w:space="1" w:color="3EC99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一</w:t>
            </w: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项目背景与目标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建设主线与六大管理改变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二</w:t>
            </w: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本期建设范围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七个功能版块总览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三</w:t>
            </w: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功能方案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各模块功能详述与价值说明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3.1  培训内容管理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完成规则 · 审核流 · 版本记录 · AI 辅助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3.2  课程部署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任务分配 · 截止追踪 · 部署历史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3.3  正负积分体系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激励约束 · 积分流水 · 团队参与度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3.4  视频培训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在线播放 · 断点续播 · 进度真实记录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3.5  培训矩阵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全员覆盖视图 · 多维度筛选 · 一键导出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3.6  数据统计与台账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多类型报表 · 合规数据出口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四</w:t>
            </w: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双方团队分工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任务清单 · 工作界面 · 初步项目进度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五</w:t>
            </w: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报价方案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分层席位模型 · 费用明细 · 报价说明</w:t>
            </w:r>
          </w:p>
        </w:tc>
      </w:tr>
    </w:tbl>
    <w:p>
      <w:pPr>
        <w:spacing w:before="0" w:after="0"/>
      </w:pPr>
      <w:r>
        <w:rPr>
          <w:rFonts w:ascii="Inter" w:hAnsi="Inter" w:eastAsia="Alibaba PuHuiTi 2.0" w:cs="Alibaba PuHuiTi 2.0"/>
        </w:rPr>
        <w:br w:type="page"/>
      </w:r>
    </w:p>
    <w:p>
      <w:pPr>
        <w:spacing w:before="120" w:after="40"/>
        <w:jc w:val="center"/>
      </w:pPr>
      <w:r>
        <w:rPr>
          <w:rFonts w:ascii="Inter" w:hAnsi="Inter" w:eastAsia="Alibaba PuHuiTi 2.0" w:cs="Alibaba PuHuiTi 2.0"/>
          <w:b/>
          <w:color w:val="0E1216"/>
          <w:sz w:val="40"/>
        </w:rPr>
        <w:t>企业培训平台功能增强建设建议书</w:t>
      </w:r>
    </w:p>
    <w:p>
      <w:pPr>
        <w:spacing w:before="0" w:after="240"/>
        <w:jc w:val="center"/>
      </w:pPr>
      <w:r>
        <w:rPr>
          <w:rFonts w:ascii="Inter" w:hAnsi="Inter" w:eastAsia="Alibaba PuHuiTi 2.0" w:cs="Alibaba PuHuiTi 2.0"/>
          <w:color w:val="8A9199"/>
          <w:sz w:val="18"/>
        </w:rPr>
        <w:t>ENTERPRISE TRAINING PLATFORM ENHANCEMENT PROPOSAL  ·  FOR VESUVIUS CHINA</w:t>
      </w:r>
    </w:p>
    <w:p>
      <w:pPr>
        <w:spacing w:before="0" w:after="320"/>
        <w:pBdr>
          <w:bottom w:val="single" w:sz="6" w:space="1" w:color="3EC99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  <w:vAlign w:val="center"/>
            <w:shd w:val="clear" w:color="auto" w:fill="EAFA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提交至</w:t>
            </w:r>
          </w:p>
        </w:tc>
        <w:tc>
          <w:tcPr>
            <w:tcW w:type="dxa" w:w="6236"/>
            <w:vAlign w:val="center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维苏威高级陶瓷（中国）有限公司</w:t>
            </w:r>
          </w:p>
        </w:tc>
      </w:tr>
      <w:tr>
        <w:tc>
          <w:tcPr>
            <w:tcW w:type="dxa" w:w="1984"/>
            <w:vAlign w:val="center"/>
            <w:shd w:val="clear" w:color="auto" w:fill="F2F3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项目名称</w:t>
            </w:r>
          </w:p>
        </w:tc>
        <w:tc>
          <w:tcPr>
            <w:tcW w:type="dxa" w:w="6236"/>
            <w:vAlign w:val="center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企业培训平台功能增强建设项目</w:t>
            </w:r>
          </w:p>
        </w:tc>
      </w:tr>
      <w:tr>
        <w:tc>
          <w:tcPr>
            <w:tcW w:type="dxa" w:w="1984"/>
            <w:vAlign w:val="center"/>
            <w:shd w:val="clear" w:color="auto" w:fill="EAFA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版本</w:t>
            </w:r>
          </w:p>
        </w:tc>
        <w:tc>
          <w:tcPr>
            <w:tcW w:type="dxa" w:w="6236"/>
            <w:vAlign w:val="center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V3.0</w:t>
            </w:r>
          </w:p>
        </w:tc>
      </w:tr>
      <w:tr>
        <w:tc>
          <w:tcPr>
            <w:tcW w:type="dxa" w:w="1984"/>
            <w:vAlign w:val="center"/>
            <w:shd w:val="clear" w:color="auto" w:fill="F2F3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文件性质</w:t>
            </w:r>
          </w:p>
        </w:tc>
        <w:tc>
          <w:tcPr>
            <w:tcW w:type="dxa" w:w="6236"/>
            <w:vAlign w:val="center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机密文件，仅供内部参阅</w:t>
            </w:r>
          </w:p>
        </w:tc>
      </w:tr>
      <w:tr>
        <w:tc>
          <w:tcPr>
            <w:tcW w:type="dxa" w:w="1984"/>
            <w:vAlign w:val="center"/>
            <w:shd w:val="clear" w:color="auto" w:fill="EAFA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预计周期</w:t>
            </w:r>
          </w:p>
        </w:tc>
        <w:tc>
          <w:tcPr>
            <w:tcW w:type="dxa" w:w="6236"/>
            <w:vAlign w:val="center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约 8 周（视最终范围确认）</w:t>
            </w:r>
          </w:p>
        </w:tc>
      </w:tr>
    </w:tbl>
    <w:p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一、项目背景与目标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贵司现有培训平台已具备基础的内容管理能力。本次增强的核心目标是让培训从"内容已发布"真正走向"任务被完成、过程有记录、结果可追溯"——让管理者不再依赖手工 Excel 和微信群催促，让每一次培训都有闭环。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本期建设将在六个维度产生直接的管理改变：</w:t>
      </w:r>
    </w:p>
    <w:p>
      <w:pPr>
        <w:spacing w:before="20" w:after="80" w:lineRule="auto" w:line="324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培训任务有人认领、有截止时间、完成情况实时可查，执行率可量化。</w:t>
      </w:r>
    </w:p>
    <w:p>
      <w:pPr>
        <w:spacing w:before="20" w:after="80" w:lineRule="auto" w:line="324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员工参与有正向激励和逾期约束，学习行为有数据记录。</w:t>
      </w:r>
    </w:p>
    <w:p>
      <w:pPr>
        <w:spacing w:before="20" w:after="80" w:lineRule="auto" w:line="324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操作规程、安全演示等视频内容可上传课程并分发部署，观看完成情况自动留痕。</w:t>
      </w:r>
    </w:p>
    <w:p>
      <w:pPr>
        <w:spacing w:before="20" w:after="80" w:lineRule="auto" w:line="324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一张培训矩阵实时展示所有员工的课程覆盖情况，无需人工汇总。</w:t>
      </w:r>
    </w:p>
    <w:p>
      <w:pPr>
        <w:spacing w:before="20" w:after="80" w:lineRule="auto" w:line="324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学习过程真实性有基础保障，培训记录具备可信度与审计能力。</w:t>
      </w:r>
    </w:p>
    <w:p>
      <w:pPr>
        <w:spacing w:before="20" w:after="80" w:lineRule="auto" w:line="324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培训记录、积分流水、考试台账具备向合规档案扩展的数据基础。</w:t>
      </w:r>
    </w:p>
    <w:p>
      <w:pPr>
        <w:spacing w:before="80" w:after="80"/>
        <w:ind w:left="160" w:right="160"/>
        <w:pBdr>
          <w:left w:val="single" w:sz="24" w:space="12" w:color="3EC99E"/>
        </w:pBdr>
        <w:shd w:val="clear" w:color="auto" w:fill="F2F3F5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一句话概括  </w:t>
      </w:r>
      <w:r>
        <w:rPr>
          <w:rFonts w:ascii="Inter" w:hAnsi="Inter" w:eastAsia="Alibaba PuHuiTi 2.0" w:cs="Alibaba PuHuiTi 2.0"/>
          <w:color w:val="8A9199"/>
          <w:sz w:val="19"/>
        </w:rPr>
        <w:t>建设主线：内容可管理 → 任务可部署 → 过程可监督 → 结果可统计 → 数据可导出。</w:t>
      </w:r>
    </w:p>
    <w:p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二、本期建设范围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本期围绕七个功能版块展开建设，每个版块都直接对应贵司管理团队的一个具体痛点。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EC99E"/>
          <w:left w:val="single" w:sz="10" w:space="0" w:color="3EC99E"/>
          <w:bottom w:val="single" w:sz="10" w:space="0" w:color="3EC99E"/>
          <w:right w:val="single" w:sz="10" w:space="0" w:color="3EC99E"/>
          <w:insideV w:val="none" w:sz="0" w:space="0" w:color="FFFFFF"/>
          <w:insideH w:val="single" w:sz="4" w:space="0" w:color="D0D5DD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156"/>
        <w:gridCol w:w="4156"/>
      </w:tblGrid>
      <w:tr>
        <w:tc>
          <w:tcPr>
            <w:tcW w:type="dxa" w:w="2154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功能版块</w:t>
            </w:r>
          </w:p>
        </w:tc>
        <w:tc>
          <w:tcPr>
            <w:tcW w:type="dxa" w:w="6633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对 Vesuvius 的直接价值</w:t>
            </w:r>
          </w:p>
        </w:tc>
      </w:tr>
      <w:tr>
        <w:tc>
          <w:tcPr>
            <w:tcW w:type="dxa" w:w="215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培训内容管理</w:t>
            </w:r>
          </w:p>
        </w:tc>
        <w:tc>
          <w:tcPr>
            <w:tcW w:type="dxa" w:w="6633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课程内容有人审核、有版本记录，确保员工看到的是已授权的最新版本</w:t>
            </w:r>
          </w:p>
        </w:tc>
      </w:tr>
      <w:tr>
        <w:tc>
          <w:tcPr>
            <w:tcW w:type="dxa" w:w="2154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课程部署</w:t>
            </w:r>
          </w:p>
        </w:tc>
        <w:tc>
          <w:tcPr>
            <w:tcW w:type="dxa" w:w="6633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每次培训都有明确责任人、截止时间和完成追踪，彻底告别微信群催促</w:t>
            </w:r>
          </w:p>
        </w:tc>
      </w:tr>
      <w:tr>
        <w:tc>
          <w:tcPr>
            <w:tcW w:type="dxa" w:w="215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正负积分体系</w:t>
            </w:r>
          </w:p>
        </w:tc>
        <w:tc>
          <w:tcPr>
            <w:tcW w:type="dxa" w:w="6633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完成课程有奖励、逾期有约束，积分记录透明，驱动员工主动学习</w:t>
            </w:r>
          </w:p>
        </w:tc>
      </w:tr>
      <w:tr>
        <w:tc>
          <w:tcPr>
            <w:tcW w:type="dxa" w:w="2154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视频培训</w:t>
            </w:r>
          </w:p>
        </w:tc>
        <w:tc>
          <w:tcPr>
            <w:tcW w:type="dxa" w:w="6633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上传操作规程或安全演示视频，员工在线观看，系统自动记录完成状态</w:t>
            </w:r>
          </w:p>
        </w:tc>
      </w:tr>
      <w:tr>
        <w:tc>
          <w:tcPr>
            <w:tcW w:type="dxa" w:w="215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培训矩阵</w:t>
            </w:r>
          </w:p>
        </w:tc>
        <w:tc>
          <w:tcPr>
            <w:tcW w:type="dxa" w:w="6633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一张实时视图展示所有员工的课程完成率，部门/岗位缺口一眼可见</w:t>
            </w:r>
          </w:p>
        </w:tc>
      </w:tr>
      <w:tr>
        <w:tc>
          <w:tcPr>
            <w:tcW w:type="dxa" w:w="2154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学习过程监督</w:t>
            </w:r>
          </w:p>
        </w:tc>
        <w:tc>
          <w:tcPr>
            <w:tcW w:type="dxa" w:w="6633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系统记录学习行为真实性，减少挂机和无效观看，保障培训数据可信度</w:t>
            </w:r>
          </w:p>
        </w:tc>
      </w:tr>
      <w:tr>
        <w:tc>
          <w:tcPr>
            <w:tcW w:type="dxa" w:w="215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数据统计与台账</w:t>
            </w:r>
          </w:p>
        </w:tc>
        <w:tc>
          <w:tcPr>
            <w:tcW w:type="dxa" w:w="6633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完成报表、考试记录、积分明细一键导出，支持内部汇报与合规备查</w:t>
            </w:r>
          </w:p>
        </w:tc>
      </w:tr>
    </w:tbl>
    <w:p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三、功能方案</w:t>
      </w:r>
    </w:p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3.1  培训内容管理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管理员可对课程内容持续维护，设置不同类型课程的完成规则，并通过审核流确保每门课程在正式发布前经过负责人确认。制度宣导类课程可设为"阅读确认即完成"；安全培训类课程可叠加"视频观看比例 + 考试通过"；版本记录确保每次改动都有据可查。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EC99E"/>
          <w:left w:val="single" w:sz="10" w:space="0" w:color="3EC99E"/>
          <w:bottom w:val="single" w:sz="10" w:space="0" w:color="3EC99E"/>
          <w:right w:val="single" w:sz="10" w:space="0" w:color="3EC99E"/>
          <w:insideV w:val="none" w:sz="0" w:space="0" w:color="FFFFFF"/>
          <w:insideH w:val="single" w:sz="4" w:space="0" w:color="D0D5DD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156"/>
        <w:gridCol w:w="4156"/>
      </w:tblGrid>
      <w:tr>
        <w:tc>
          <w:tcPr>
            <w:tcW w:type="dxa" w:w="2268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</w:t>
            </w:r>
          </w:p>
        </w:tc>
        <w:tc>
          <w:tcPr>
            <w:tcW w:type="dxa" w:w="6520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您将获得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灵活的完成规则</w:t>
            </w:r>
          </w:p>
        </w:tc>
        <w:tc>
          <w:tcPr>
            <w:tcW w:type="dxa" w:w="6520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按课程类型分别配置：阅读确认 / 视频观看比例 / 考试通过，不强迫所有课程走同一套标准</w:t>
            </w:r>
          </w:p>
        </w:tc>
      </w:tr>
      <w:tr>
        <w:tc>
          <w:tcPr>
            <w:tcW w:type="dxa" w:w="2268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内容审核流</w:t>
            </w:r>
          </w:p>
        </w:tc>
        <w:tc>
          <w:tcPr>
            <w:tcW w:type="dxa" w:w="6520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课程正式发布前须经培训负责人审核，防止未授权内容失误发布到平台内部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版本记录</w:t>
            </w:r>
          </w:p>
        </w:tc>
        <w:tc>
          <w:tcPr>
            <w:tcW w:type="dxa" w:w="6520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每次发布形成版本留痕，历史版本可追溯，迎检时有完整内容变更依据</w:t>
            </w:r>
          </w:p>
        </w:tc>
      </w:tr>
      <w:tr>
        <w:tc>
          <w:tcPr>
            <w:tcW w:type="dxa" w:w="2268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AI 辅助</w:t>
            </w:r>
          </w:p>
        </w:tc>
        <w:tc>
          <w:tcPr>
            <w:tcW w:type="dxa" w:w="6520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支持 AI 辅助生成知识点新建章节，考试题目支持 AI 辅助生成，大幅降低题库维护工作量</w:t>
            </w:r>
          </w:p>
        </w:tc>
      </w:tr>
    </w:tbl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3.2  课程部署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课程部署是让培训从"资源库"变成"执行任务"的关键。管理员按部门、岗位或人员维度分配课程，设置截止时间和提醒规则后，系统自动追踪每个人的完成进度——谁完成了、谁逾期了、考试结果怎样，全部实时可查，无需手工汇总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EC99E"/>
          <w:left w:val="single" w:sz="10" w:space="0" w:color="3EC99E"/>
          <w:bottom w:val="single" w:sz="10" w:space="0" w:color="3EC99E"/>
          <w:right w:val="single" w:sz="10" w:space="0" w:color="3EC99E"/>
          <w:insideV w:val="none" w:sz="0" w:space="0" w:color="FFFFFF"/>
          <w:insideH w:val="single" w:sz="4" w:space="0" w:color="D0D5DD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156"/>
        <w:gridCol w:w="4156"/>
      </w:tblGrid>
      <w:tr>
        <w:tc>
          <w:tcPr>
            <w:tcW w:type="dxa" w:w="2268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</w:t>
            </w:r>
          </w:p>
        </w:tc>
        <w:tc>
          <w:tcPr>
            <w:tcW w:type="dxa" w:w="6520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您将获得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灵活的分配方式</w:t>
            </w:r>
          </w:p>
        </w:tc>
        <w:tc>
          <w:tcPr>
            <w:tcW w:type="dxa" w:w="6520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支持按员工、部门、岗位、职能、班组多维度分配，一次操作覆盖目标人群</w:t>
            </w:r>
          </w:p>
        </w:tc>
      </w:tr>
      <w:tr>
        <w:tc>
          <w:tcPr>
            <w:tcW w:type="dxa" w:w="2268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截止时间与提醒</w:t>
            </w:r>
          </w:p>
        </w:tc>
        <w:tc>
          <w:tcPr>
            <w:tcW w:type="dxa" w:w="6520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系统在临近截止时自动提醒未完成员工，逾期情况同步通知管理者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实时完成追踪</w:t>
            </w:r>
          </w:p>
        </w:tc>
        <w:tc>
          <w:tcPr>
            <w:tcW w:type="dxa" w:w="6520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管理员随时查看当前部署的完成率、未完成人员清单与考试通过情况</w:t>
            </w:r>
          </w:p>
        </w:tc>
      </w:tr>
      <w:tr>
        <w:tc>
          <w:tcPr>
            <w:tcW w:type="dxa" w:w="2268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部署历史存档</w:t>
            </w:r>
          </w:p>
        </w:tc>
        <w:tc>
          <w:tcPr>
            <w:tcW w:type="dxa" w:w="6520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每次培训的对象、版本、完成情况长期留存，支持年度培训复盘与审查</w:t>
            </w:r>
          </w:p>
        </w:tc>
      </w:tr>
    </w:tbl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3.3  正负积分体系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积分体系以数据化方式建立轻量级激励和约束，代替反复的行政催促。完成课程自动加分，逾期自动扣分，每一笔积分流水都有明细可查——员工看得到自己的表现，管理者看得到团队的整体参与度。后续如有需要，积分数据可直接扩展为学习排行榜或年度激励评选的依据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EC99E"/>
          <w:left w:val="single" w:sz="10" w:space="0" w:color="3EC99E"/>
          <w:bottom w:val="single" w:sz="10" w:space="0" w:color="3EC99E"/>
          <w:right w:val="single" w:sz="10" w:space="0" w:color="3EC99E"/>
          <w:insideV w:val="none" w:sz="0" w:space="0" w:color="FFFFFF"/>
          <w:insideH w:val="single" w:sz="4" w:space="0" w:color="D0D5DD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71"/>
        <w:gridCol w:w="2771"/>
        <w:gridCol w:w="2771"/>
      </w:tblGrid>
      <w:tr>
        <w:tc>
          <w:tcPr>
            <w:tcW w:type="dxa" w:w="2551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积分规则</w:t>
            </w:r>
          </w:p>
        </w:tc>
        <w:tc>
          <w:tcPr>
            <w:tcW w:type="dxa" w:w="3402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员工视角</w:t>
            </w:r>
          </w:p>
        </w:tc>
        <w:tc>
          <w:tcPr>
            <w:tcW w:type="dxa" w:w="2835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管理者视角</w:t>
            </w:r>
          </w:p>
        </w:tc>
      </w:tr>
      <w:tr>
        <w:tc>
          <w:tcPr>
            <w:tcW w:type="dxa" w:w="2551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完成课程 / 考试通过</w:t>
            </w:r>
          </w:p>
        </w:tc>
        <w:tc>
          <w:tcPr>
            <w:tcW w:type="dxa" w:w="3402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个人积分实时增加，可查看积分明细</w:t>
            </w:r>
          </w:p>
        </w:tc>
        <w:tc>
          <w:tcPr>
            <w:tcW w:type="dxa" w:w="283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整体参与度提升，无需反复催促</w:t>
            </w:r>
          </w:p>
        </w:tc>
      </w:tr>
      <w:tr>
        <w:tc>
          <w:tcPr>
            <w:tcW w:type="dxa" w:w="2551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课程逾期 / 考试未过</w:t>
            </w:r>
          </w:p>
        </w:tc>
        <w:tc>
          <w:tcPr>
            <w:tcW w:type="dxa" w:w="3402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收到系统提示，清楚了解扣分原因</w:t>
            </w:r>
          </w:p>
        </w:tc>
        <w:tc>
          <w:tcPr>
            <w:tcW w:type="dxa" w:w="2835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逾期记录可导出，支持部门绩效参考</w:t>
            </w:r>
          </w:p>
        </w:tc>
      </w:tr>
      <w:tr>
        <w:tc>
          <w:tcPr>
            <w:tcW w:type="dxa" w:w="2551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活动奖励 / 人工调整</w:t>
            </w:r>
          </w:p>
        </w:tc>
        <w:tc>
          <w:tcPr>
            <w:tcW w:type="dxa" w:w="3402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积分变动有通知，透明公正</w:t>
            </w:r>
          </w:p>
        </w:tc>
        <w:tc>
          <w:tcPr>
            <w:tcW w:type="dxa" w:w="283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管理端可补发或纠错，全程留审计日志</w:t>
            </w:r>
          </w:p>
        </w:tc>
      </w:tr>
    </w:tbl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3.4  视频培训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管理员可在课程章节中上传操作规程、安全培训演示或设备维护视频，员工通过 PC 或手机浏览器在线观看。系统实时记录每位员工的观看进度，可配置"观看达到指定比例方可完成课程"，确保视频培训留有真实记录而非仅标注已观看。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EC99E"/>
          <w:left w:val="single" w:sz="10" w:space="0" w:color="3EC99E"/>
          <w:bottom w:val="single" w:sz="10" w:space="0" w:color="3EC99E"/>
          <w:right w:val="single" w:sz="10" w:space="0" w:color="3EC99E"/>
          <w:insideV w:val="none" w:sz="0" w:space="0" w:color="FFFFFF"/>
          <w:insideH w:val="single" w:sz="4" w:space="0" w:color="D0D5DD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156"/>
        <w:gridCol w:w="4156"/>
      </w:tblGrid>
      <w:tr>
        <w:tc>
          <w:tcPr>
            <w:tcW w:type="dxa" w:w="2268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</w:t>
            </w:r>
          </w:p>
        </w:tc>
        <w:tc>
          <w:tcPr>
            <w:tcW w:type="dxa" w:w="6520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您将获得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在线上传与播放</w:t>
            </w:r>
          </w:p>
        </w:tc>
        <w:tc>
          <w:tcPr>
            <w:tcW w:type="dxa" w:w="6520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视频直接上传至课程，员工无需下载，PC / 手机浏览器均可播放</w:t>
            </w:r>
          </w:p>
        </w:tc>
      </w:tr>
      <w:tr>
        <w:tc>
          <w:tcPr>
            <w:tcW w:type="dxa" w:w="2268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断点续播</w:t>
            </w:r>
          </w:p>
        </w:tc>
        <w:tc>
          <w:tcPr>
            <w:tcW w:type="dxa" w:w="6520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员工上次观看到哪里，下次自动从断点继续，不影响碎片化学习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观看进度记录</w:t>
            </w:r>
          </w:p>
        </w:tc>
        <w:tc>
          <w:tcPr>
            <w:tcW w:type="dxa" w:w="6520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系统记录实际观看比例，课程完成判断基于真实数据而非点击记录</w:t>
            </w:r>
          </w:p>
        </w:tc>
      </w:tr>
      <w:tr>
        <w:tc>
          <w:tcPr>
            <w:tcW w:type="dxa" w:w="2268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播放控制</w:t>
            </w:r>
          </w:p>
        </w:tc>
        <w:tc>
          <w:tcPr>
            <w:tcW w:type="dxa" w:w="6520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可配置是否允许拖拽进度条，防止员工跳过关键内容直接标记完成</w:t>
            </w:r>
          </w:p>
        </w:tc>
      </w:tr>
    </w:tbl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3.5  培训矩阵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培训矩阵解决的是"每次想了解培训覆盖情况，都要从头拉数据、手工处理 Excel"的问题。它是一张始终在线、实时更新的全员培训视图，管理者可以按部门、岗位或培训状态快速筛选，一眼定位需要关注的人员或课程，并支持一键导出。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EC99E"/>
          <w:left w:val="single" w:sz="10" w:space="0" w:color="3EC99E"/>
          <w:bottom w:val="single" w:sz="10" w:space="0" w:color="3EC99E"/>
          <w:right w:val="single" w:sz="10" w:space="0" w:color="3EC99E"/>
          <w:insideV w:val="none" w:sz="0" w:space="0" w:color="FFFFFF"/>
          <w:insideH w:val="single" w:sz="4" w:space="0" w:color="D0D5DD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71"/>
        <w:gridCol w:w="2771"/>
        <w:gridCol w:w="2771"/>
      </w:tblGrid>
      <w:tr>
        <w:tc>
          <w:tcPr>
            <w:tcW w:type="dxa" w:w="1587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视角</w:t>
            </w:r>
          </w:p>
        </w:tc>
        <w:tc>
          <w:tcPr>
            <w:tcW w:type="dxa" w:w="4649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可以看到什么</w:t>
            </w:r>
          </w:p>
        </w:tc>
        <w:tc>
          <w:tcPr>
            <w:tcW w:type="dxa" w:w="2551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典型场景</w:t>
            </w:r>
          </w:p>
        </w:tc>
      </w:tr>
      <w:tr>
        <w:tc>
          <w:tcPr>
            <w:tcW w:type="dxa" w:w="158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员工个人</w:t>
            </w:r>
          </w:p>
        </w:tc>
        <w:tc>
          <w:tcPr>
            <w:tcW w:type="dxa" w:w="4649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已完成哪些课程、还有哪些未完成、当前积分</w:t>
            </w:r>
          </w:p>
        </w:tc>
        <w:tc>
          <w:tcPr>
            <w:tcW w:type="dxa" w:w="2551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员工自主了解学习任务进度</w:t>
            </w:r>
          </w:p>
        </w:tc>
      </w:tr>
      <w:tr>
        <w:tc>
          <w:tcPr>
            <w:tcW w:type="dxa" w:w="1587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部门负责人</w:t>
            </w:r>
          </w:p>
        </w:tc>
        <w:tc>
          <w:tcPr>
            <w:tcW w:type="dxa" w:w="4649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本部门完成率、逾期人数、课程通过率</w:t>
            </w:r>
          </w:p>
        </w:tc>
        <w:tc>
          <w:tcPr>
            <w:tcW w:type="dxa" w:w="2551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月度培训汇报，无需手工统计</w:t>
            </w:r>
          </w:p>
        </w:tc>
      </w:tr>
      <w:tr>
        <w:tc>
          <w:tcPr>
            <w:tcW w:type="dxa" w:w="158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培训管理者</w:t>
            </w:r>
          </w:p>
        </w:tc>
        <w:tc>
          <w:tcPr>
            <w:tcW w:type="dxa" w:w="4649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跨部门/岗位的完成缺口、课程执行效果对比</w:t>
            </w:r>
          </w:p>
        </w:tc>
        <w:tc>
          <w:tcPr>
            <w:tcW w:type="dxa" w:w="2551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安全检查前快速准备培训台账</w:t>
            </w:r>
          </w:p>
        </w:tc>
      </w:tr>
    </w:tbl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3.6  数据统计与台账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平台将课程完成、考试结果、积分变动、视频观看记录统一汇聚，支持按员工、部门、岗位或时间段多维度导出。无论是月度内部汇报、年度安全培训统计，还是迎接政府安全检查或 ISO 审核，都能在几分钟内生成一份完整的数字台账。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EC99E"/>
          <w:left w:val="single" w:sz="10" w:space="0" w:color="3EC99E"/>
          <w:bottom w:val="single" w:sz="10" w:space="0" w:color="3EC99E"/>
          <w:right w:val="single" w:sz="10" w:space="0" w:color="3EC99E"/>
          <w:insideV w:val="none" w:sz="0" w:space="0" w:color="FFFFFF"/>
          <w:insideH w:val="single" w:sz="4" w:space="0" w:color="D0D5DD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156"/>
        <w:gridCol w:w="4156"/>
      </w:tblGrid>
      <w:tr>
        <w:tc>
          <w:tcPr>
            <w:tcW w:type="dxa" w:w="2381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报表类型</w:t>
            </w:r>
          </w:p>
        </w:tc>
        <w:tc>
          <w:tcPr>
            <w:tcW w:type="dxa" w:w="6406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典型用途</w:t>
            </w:r>
          </w:p>
        </w:tc>
      </w:tr>
      <w:tr>
        <w:tc>
          <w:tcPr>
            <w:tcW w:type="dxa" w:w="2381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培训完成报表</w:t>
            </w:r>
          </w:p>
        </w:tc>
        <w:tc>
          <w:tcPr>
            <w:tcW w:type="dxa" w:w="6406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日常执行管理；按部门/岗位汇总完成率，快速定位缺口</w:t>
            </w:r>
          </w:p>
        </w:tc>
      </w:tr>
      <w:tr>
        <w:tc>
          <w:tcPr>
            <w:tcW w:type="dxa" w:w="2381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考试结果报表</w:t>
            </w:r>
          </w:p>
        </w:tc>
        <w:tc>
          <w:tcPr>
            <w:tcW w:type="dxa" w:w="6406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评估学习效果；识别需要补训的员工</w:t>
            </w:r>
          </w:p>
        </w:tc>
      </w:tr>
      <w:tr>
        <w:tc>
          <w:tcPr>
            <w:tcW w:type="dxa" w:w="2381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积分明细报表</w:t>
            </w:r>
          </w:p>
        </w:tc>
        <w:tc>
          <w:tcPr>
            <w:tcW w:type="dxa" w:w="6406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积分核查与管理复核；支持绩效参考数据导出</w:t>
            </w:r>
          </w:p>
        </w:tc>
      </w:tr>
      <w:tr>
        <w:tc>
          <w:tcPr>
            <w:tcW w:type="dxa" w:w="2381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视频学习记录</w:t>
            </w:r>
          </w:p>
        </w:tc>
        <w:tc>
          <w:tcPr>
            <w:tcW w:type="dxa" w:w="6406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视频课程完成判断依据；满足合规留痕要求</w:t>
            </w:r>
          </w:p>
        </w:tc>
      </w:tr>
      <w:tr>
        <w:tc>
          <w:tcPr>
            <w:tcW w:type="dxa" w:w="2381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培训台账导出</w:t>
            </w:r>
          </w:p>
        </w:tc>
        <w:tc>
          <w:tcPr>
            <w:tcW w:type="dxa" w:w="6406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迎检备查；ESG 培训覆盖数据出口；年度培训统计</w:t>
            </w:r>
          </w:p>
        </w:tc>
      </w:tr>
    </w:tbl>
    <w:p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四、双方团队分工</w:t>
      </w:r>
    </w:p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4.1  任务清单与工作界面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项目执行期间，双方团队在各阶段均有明确的责任边界。以下任务清单列出了每项工作的分工，确保推进有序、不产生责任盲区。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EC99E"/>
          <w:left w:val="single" w:sz="10" w:space="0" w:color="3EC99E"/>
          <w:bottom w:val="single" w:sz="10" w:space="0" w:color="3EC99E"/>
          <w:right w:val="single" w:sz="10" w:space="0" w:color="3EC99E"/>
          <w:insideV w:val="none" w:sz="0" w:space="0" w:color="FFFFFF"/>
          <w:insideH w:val="single" w:sz="4" w:space="0" w:color="D0D5DD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078"/>
        <w:gridCol w:w="2078"/>
        <w:gridCol w:w="2078"/>
        <w:gridCol w:w="2078"/>
      </w:tblGrid>
      <w:tr>
        <w:tc>
          <w:tcPr>
            <w:tcW w:type="dxa" w:w="624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编号</w:t>
            </w:r>
          </w:p>
        </w:tc>
        <w:tc>
          <w:tcPr>
            <w:tcW w:type="dxa" w:w="1587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任务描述</w:t>
            </w:r>
          </w:p>
        </w:tc>
        <w:tc>
          <w:tcPr>
            <w:tcW w:type="dxa" w:w="3685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甲方（Vesuvius）职责</w:t>
            </w:r>
          </w:p>
        </w:tc>
        <w:tc>
          <w:tcPr>
            <w:tcW w:type="dxa" w:w="2891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我方职责</w:t>
            </w:r>
          </w:p>
        </w:tc>
      </w:tr>
      <w:tr>
        <w:tc>
          <w:tcPr>
            <w:tcW w:type="dxa" w:w="62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1</w:t>
            </w:r>
          </w:p>
        </w:tc>
        <w:tc>
          <w:tcPr>
            <w:tcW w:type="dxa" w:w="158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需求确认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确认功能范围与角色权限；指定培训负责人作为项目对接人；审批我方给予的完整需求清单</w:t>
            </w:r>
          </w:p>
        </w:tc>
        <w:tc>
          <w:tcPr>
            <w:tcW w:type="dxa" w:w="2891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输出需求清单、主要页面原型及双方认可的验收标准</w:t>
            </w:r>
          </w:p>
        </w:tc>
      </w:tr>
      <w:tr>
        <w:tc>
          <w:tcPr>
            <w:tcW w:type="dxa" w:w="624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2</w:t>
            </w:r>
          </w:p>
        </w:tc>
        <w:tc>
          <w:tcPr>
            <w:tcW w:type="dxa" w:w="1587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数据与组织准备</w:t>
            </w:r>
          </w:p>
        </w:tc>
        <w:tc>
          <w:tcPr>
            <w:tcW w:type="dxa" w:w="3685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提供员工花名册及部门/岗位层级数据；确认课程分类体系与初始管理权限分配</w:t>
            </w:r>
          </w:p>
        </w:tc>
        <w:tc>
          <w:tcPr>
            <w:tcW w:type="dxa" w:w="2891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完成组织架构导入、账号初始化及角色权限体系配置</w:t>
            </w:r>
          </w:p>
        </w:tc>
      </w:tr>
      <w:tr>
        <w:tc>
          <w:tcPr>
            <w:tcW w:type="dxa" w:w="62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3</w:t>
            </w:r>
          </w:p>
        </w:tc>
        <w:tc>
          <w:tcPr>
            <w:tcW w:type="dxa" w:w="158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功能开发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提供部分课程内容（文档/视频/其他格式）；对原型方案进行业务评审</w:t>
            </w:r>
          </w:p>
        </w:tc>
        <w:tc>
          <w:tcPr>
            <w:tcW w:type="dxa" w:w="2891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开发七大功能模块，每周固定进度同步，问题当周响应</w:t>
            </w:r>
          </w:p>
        </w:tc>
      </w:tr>
      <w:tr>
        <w:tc>
          <w:tcPr>
            <w:tcW w:type="dxa" w:w="624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4</w:t>
            </w:r>
          </w:p>
        </w:tc>
        <w:tc>
          <w:tcPr>
            <w:tcW w:type="dxa" w:w="1587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系统内测</w:t>
            </w:r>
          </w:p>
        </w:tc>
        <w:tc>
          <w:tcPr>
            <w:tcW w:type="dxa" w:w="3685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组织 HR 及培训管理员参与内测，提供真实场景操作反馈</w:t>
            </w:r>
          </w:p>
        </w:tc>
        <w:tc>
          <w:tcPr>
            <w:tcW w:type="dxa" w:w="2891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根据反馈修复问题并完成回归测试，确保功能符合验收标准</w:t>
            </w:r>
          </w:p>
        </w:tc>
      </w:tr>
      <w:tr>
        <w:tc>
          <w:tcPr>
            <w:tcW w:type="dxa" w:w="62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5</w:t>
            </w:r>
          </w:p>
        </w:tc>
        <w:tc>
          <w:tcPr>
            <w:tcW w:type="dxa" w:w="158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上线验收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组织管理员正式验收，确认系统满足建设目标后签署验收确认</w:t>
            </w:r>
          </w:p>
        </w:tc>
        <w:tc>
          <w:tcPr>
            <w:tcW w:type="dxa" w:w="2891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提供管理员培训、学员端操作手册及完整交付文件</w:t>
            </w:r>
          </w:p>
        </w:tc>
      </w:tr>
      <w:tr>
        <w:tc>
          <w:tcPr>
            <w:tcW w:type="dxa" w:w="624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6</w:t>
            </w:r>
          </w:p>
        </w:tc>
        <w:tc>
          <w:tcPr>
            <w:tcW w:type="dxa" w:w="1587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上线后运维</w:t>
            </w:r>
          </w:p>
        </w:tc>
        <w:tc>
          <w:tcPr>
            <w:tcW w:type="dxa" w:w="3685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指定系统管理员负责日常运营；统一收集并反馈优化需求</w:t>
            </w:r>
          </w:p>
        </w:tc>
        <w:tc>
          <w:tcPr>
            <w:tcW w:type="dxa" w:w="2891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提供上线后 1 年免费维护，功能问题响应时间不超过 1 个工作日</w:t>
            </w:r>
          </w:p>
        </w:tc>
      </w:tr>
    </w:tbl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4.2  初步项目进度安排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标准版初步建设周期约 8 周，按五个阶段有序推进：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EC99E"/>
          <w:left w:val="single" w:sz="10" w:space="0" w:color="3EC99E"/>
          <w:bottom w:val="single" w:sz="10" w:space="0" w:color="3EC99E"/>
          <w:right w:val="single" w:sz="10" w:space="0" w:color="3EC99E"/>
          <w:insideV w:val="none" w:sz="0" w:space="0" w:color="FFFFFF"/>
          <w:insideH w:val="single" w:sz="4" w:space="0" w:color="D0D5DD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078"/>
        <w:gridCol w:w="2078"/>
        <w:gridCol w:w="2078"/>
        <w:gridCol w:w="2078"/>
      </w:tblGrid>
      <w:tr>
        <w:tc>
          <w:tcPr>
            <w:tcW w:type="dxa" w:w="1247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阶段</w:t>
            </w:r>
          </w:p>
        </w:tc>
        <w:tc>
          <w:tcPr>
            <w:tcW w:type="dxa" w:w="907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周次</w:t>
            </w:r>
          </w:p>
        </w:tc>
        <w:tc>
          <w:tcPr>
            <w:tcW w:type="dxa" w:w="3175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涉及职能</w:t>
            </w:r>
          </w:p>
        </w:tc>
        <w:tc>
          <w:tcPr>
            <w:tcW w:type="dxa" w:w="3458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里程碑 / 交付物</w:t>
            </w:r>
          </w:p>
        </w:tc>
      </w:tr>
      <w:tr>
        <w:tc>
          <w:tcPr>
            <w:tcW w:type="dxa" w:w="124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需求确认</w:t>
            </w:r>
          </w:p>
        </w:tc>
        <w:tc>
          <w:tcPr>
            <w:tcW w:type="dxa" w:w="90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1 周</w:t>
            </w:r>
          </w:p>
        </w:tc>
        <w:tc>
          <w:tcPr>
            <w:tcW w:type="dxa" w:w="317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产品经理 · 甲方培训负责人</w:t>
            </w:r>
          </w:p>
        </w:tc>
        <w:tc>
          <w:tcPr>
            <w:tcW w:type="dxa" w:w="3458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需求清单、权限矩阵、验收口径</w:t>
            </w:r>
          </w:p>
        </w:tc>
      </w:tr>
      <w:tr>
        <w:tc>
          <w:tcPr>
            <w:tcW w:type="dxa" w:w="1247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原型设计</w:t>
            </w:r>
          </w:p>
        </w:tc>
        <w:tc>
          <w:tcPr>
            <w:tcW w:type="dxa" w:w="907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2 周</w:t>
            </w:r>
          </w:p>
        </w:tc>
        <w:tc>
          <w:tcPr>
            <w:tcW w:type="dxa" w:w="3175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产品经理 · UI 设计师</w:t>
            </w:r>
          </w:p>
        </w:tc>
        <w:tc>
          <w:tcPr>
            <w:tcW w:type="dxa" w:w="3458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主要页面原型，双方评审确认</w:t>
            </w:r>
          </w:p>
        </w:tc>
      </w:tr>
      <w:tr>
        <w:tc>
          <w:tcPr>
            <w:tcW w:type="dxa" w:w="124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功能开发</w:t>
            </w:r>
          </w:p>
        </w:tc>
        <w:tc>
          <w:tcPr>
            <w:tcW w:type="dxa" w:w="90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3–6 周</w:t>
            </w:r>
          </w:p>
        </w:tc>
        <w:tc>
          <w:tcPr>
            <w:tcW w:type="dxa" w:w="317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前端 · 后端 · 数据工程师</w:t>
            </w:r>
          </w:p>
        </w:tc>
        <w:tc>
          <w:tcPr>
            <w:tcW w:type="dxa" w:w="3458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七大功能模块可联调版本</w:t>
            </w:r>
          </w:p>
        </w:tc>
      </w:tr>
      <w:tr>
        <w:tc>
          <w:tcPr>
            <w:tcW w:type="dxa" w:w="1247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测试与修复</w:t>
            </w:r>
          </w:p>
        </w:tc>
        <w:tc>
          <w:tcPr>
            <w:tcW w:type="dxa" w:w="907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7 周</w:t>
            </w:r>
          </w:p>
        </w:tc>
        <w:tc>
          <w:tcPr>
            <w:tcW w:type="dxa" w:w="3175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测试工程师 · 甲方内测团队</w:t>
            </w:r>
          </w:p>
        </w:tc>
        <w:tc>
          <w:tcPr>
            <w:tcW w:type="dxa" w:w="3458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测试记录、修复清单、权限与报表验证</w:t>
            </w:r>
          </w:p>
        </w:tc>
      </w:tr>
      <w:tr>
        <w:tc>
          <w:tcPr>
            <w:tcW w:type="dxa" w:w="124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上线验收</w:t>
            </w:r>
          </w:p>
        </w:tc>
        <w:tc>
          <w:tcPr>
            <w:tcW w:type="dxa" w:w="90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8 周</w:t>
            </w:r>
          </w:p>
        </w:tc>
        <w:tc>
          <w:tcPr>
            <w:tcW w:type="dxa" w:w="317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产品经理 · 实施顾问</w:t>
            </w:r>
          </w:p>
        </w:tc>
        <w:tc>
          <w:tcPr>
            <w:tcW w:type="dxa" w:w="3458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验收版本 · 管理员培训 · 操作手册</w:t>
            </w:r>
          </w:p>
        </w:tc>
      </w:tr>
    </w:tbl>
    <w:p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五、报价方案</w:t>
      </w:r>
    </w:p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5.1  席位规划说明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贵司全国共 2,500 名员工，其中 500 名办公室人员有固定电脑，2,000 名为一线员工且流动率较高。针对两类人群的使用场景差异，我方建议采用"分层席位"模型——分别为两类人群提供匹配其实际需求的访问权限与账号管理方式，避免为一线员工支付不必要的高功能溢价，同时保障管理侧的完整数据视图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EC99E"/>
          <w:left w:val="single" w:sz="10" w:space="0" w:color="3EC99E"/>
          <w:bottom w:val="single" w:sz="10" w:space="0" w:color="3EC99E"/>
          <w:right w:val="single" w:sz="10" w:space="0" w:color="3EC99E"/>
          <w:insideV w:val="none" w:sz="0" w:space="0" w:color="FFFFFF"/>
          <w:insideH w:val="single" w:sz="4" w:space="0" w:color="D0D5DD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587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席位类型</w:t>
            </w:r>
          </w:p>
        </w:tc>
        <w:tc>
          <w:tcPr>
            <w:tcW w:type="dxa" w:w="1247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适用人群</w:t>
            </w:r>
          </w:p>
        </w:tc>
        <w:tc>
          <w:tcPr>
            <w:tcW w:type="dxa" w:w="1247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访问方式</w:t>
            </w:r>
          </w:p>
        </w:tc>
        <w:tc>
          <w:tcPr>
            <w:tcW w:type="dxa" w:w="3118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核心功能</w:t>
            </w:r>
          </w:p>
        </w:tc>
        <w:tc>
          <w:tcPr>
            <w:tcW w:type="dxa" w:w="1587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账号管理</w:t>
            </w:r>
          </w:p>
        </w:tc>
      </w:tr>
      <w:tr>
        <w:tc>
          <w:tcPr>
            <w:tcW w:type="dxa" w:w="158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A 类 · 全功能席位</w:t>
            </w:r>
          </w:p>
        </w:tc>
        <w:tc>
          <w:tcPr>
            <w:tcW w:type="dxa" w:w="124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办公室人员</w:t>
              <w:br/>
              <w:t>500 人</w:t>
            </w:r>
          </w:p>
        </w:tc>
        <w:tc>
          <w:tcPr>
            <w:tcW w:type="dxa" w:w="124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PC + 移动端</w:t>
            </w:r>
          </w:p>
        </w:tc>
        <w:tc>
          <w:tcPr>
            <w:tcW w:type="dxa" w:w="3118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全部功能，含 AI 辅助、高级报表、完整管理权限</w:t>
            </w:r>
          </w:p>
        </w:tc>
        <w:tc>
          <w:tcPr>
            <w:tcW w:type="dxa" w:w="158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固定命名账号，长期有效</w:t>
            </w:r>
          </w:p>
        </w:tc>
      </w:tr>
      <w:tr>
        <w:tc>
          <w:tcPr>
            <w:tcW w:type="dxa" w:w="1587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B 类 · 流动席位池</w:t>
            </w:r>
          </w:p>
        </w:tc>
        <w:tc>
          <w:tcPr>
            <w:tcW w:type="dxa" w:w="1247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一线员工</w:t>
              <w:br/>
              <w:t>2,000 人额度</w:t>
            </w:r>
          </w:p>
        </w:tc>
        <w:tc>
          <w:tcPr>
            <w:tcW w:type="dxa" w:w="1247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移动端为主</w:t>
            </w:r>
          </w:p>
        </w:tc>
        <w:tc>
          <w:tcPr>
            <w:tcW w:type="dxa" w:w="3118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视频培训、课程完成、考试、积分、基础台账导出</w:t>
            </w:r>
          </w:p>
        </w:tc>
        <w:tc>
          <w:tcPr>
            <w:tcW w:type="dxa" w:w="1587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支持快速回收再分配，离职账号可复用给新员工，无需额外付费</w:t>
            </w:r>
          </w:p>
        </w:tc>
      </w:tr>
    </w:tbl>
    <w:p>
      <w:pPr>
        <w:spacing w:before="80" w:after="80"/>
        <w:ind w:left="160" w:right="160"/>
        <w:pBdr>
          <w:left w:val="single" w:sz="24" w:space="12" w:color="3EC99E"/>
        </w:pBdr>
        <w:shd w:val="clear" w:color="auto" w:fill="F2F3F5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流动席位说明  </w:t>
      </w:r>
      <w:r>
        <w:rPr>
          <w:rFonts w:ascii="Inter" w:hAnsi="Inter" w:eastAsia="Alibaba PuHuiTi 2.0" w:cs="Alibaba PuHuiTi 2.0"/>
          <w:color w:val="8A9199"/>
          <w:sz w:val="19"/>
        </w:rPr>
        <w:t>流动席位池的核心价值在于：当一线员工离职后，该账号可被管理员一键回收并重新分配给新入职员工，而不占用新的席位额度。这意味着无论年流动人数是 500 人还是1,000 人，席位费用始终固定——贵司只需为"2,000 个同时在册的一线学习席位"付费。</w:t>
      </w:r>
    </w:p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5.2  费用明细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以下报价基于贵司 2,500 人规模（500 名全功能席位 + 2,000 名流动席位池）制定，含全功能部署、实施落地及上线后 1 年技术支持与免费维护服务。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EC99E"/>
          <w:left w:val="single" w:sz="10" w:space="0" w:color="3EC99E"/>
          <w:bottom w:val="single" w:sz="10" w:space="0" w:color="3EC99E"/>
          <w:right w:val="single" w:sz="10" w:space="0" w:color="3EC99E"/>
          <w:insideV w:val="none" w:sz="0" w:space="0" w:color="FFFFFF"/>
          <w:insideH w:val="single" w:sz="4" w:space="0" w:color="D0D5DD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费用项目</w:t>
            </w:r>
          </w:p>
        </w:tc>
        <w:tc>
          <w:tcPr>
            <w:tcW w:type="dxa" w:w="2948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说明</w:t>
            </w:r>
          </w:p>
        </w:tc>
        <w:tc>
          <w:tcPr>
            <w:tcW w:type="dxa" w:w="1247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规格</w:t>
            </w:r>
          </w:p>
        </w:tc>
        <w:tc>
          <w:tcPr>
            <w:tcW w:type="dxa" w:w="1474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单价</w:t>
            </w:r>
          </w:p>
        </w:tc>
        <w:tc>
          <w:tcPr>
            <w:tcW w:type="dxa" w:w="1304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金额（元）</w:t>
            </w:r>
          </w:p>
        </w:tc>
      </w:tr>
      <w:tr>
        <w:tc>
          <w:tcPr>
            <w:tcW w:type="dxa" w:w="181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A 类席位年费</w:t>
            </w:r>
          </w:p>
        </w:tc>
        <w:tc>
          <w:tcPr>
            <w:tcW w:type="dxa" w:w="2948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办公室人员，全功能访问</w:t>
            </w:r>
          </w:p>
        </w:tc>
        <w:tc>
          <w:tcPr>
            <w:tcW w:type="dxa" w:w="124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500 人/年</w:t>
            </w:r>
          </w:p>
        </w:tc>
        <w:tc>
          <w:tcPr>
            <w:tcW w:type="dxa" w:w="147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¥160 / 人 / 年</w:t>
            </w:r>
          </w:p>
        </w:tc>
        <w:tc>
          <w:tcPr>
            <w:tcW w:type="dxa" w:w="130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¥ 80,000</w:t>
            </w:r>
          </w:p>
        </w:tc>
      </w:tr>
      <w:tr>
        <w:tc>
          <w:tcPr>
            <w:tcW w:type="dxa" w:w="1814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B 类席位池年费</w:t>
            </w:r>
          </w:p>
        </w:tc>
        <w:tc>
          <w:tcPr>
            <w:tcW w:type="dxa" w:w="2948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一线员工，流动席位池</w:t>
            </w:r>
          </w:p>
        </w:tc>
        <w:tc>
          <w:tcPr>
            <w:tcW w:type="dxa" w:w="1247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2,000 额度 / 年</w:t>
            </w:r>
          </w:p>
        </w:tc>
        <w:tc>
          <w:tcPr>
            <w:tcW w:type="dxa" w:w="1474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¥30 / 额度 / 年</w:t>
            </w:r>
          </w:p>
        </w:tc>
        <w:tc>
          <w:tcPr>
            <w:tcW w:type="dxa" w:w="1304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¥ 60,000</w:t>
            </w:r>
          </w:p>
        </w:tc>
      </w:tr>
      <w:tr>
        <w:tc>
          <w:tcPr>
            <w:tcW w:type="dxa" w:w="181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实施部署费（一次性）</w:t>
            </w:r>
          </w:p>
        </w:tc>
        <w:tc>
          <w:tcPr>
            <w:tcW w:type="dxa" w:w="2948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平台配置 · 组织架构导入 · 权限初始化 · 管理员培训（含 1 年免费维护）</w:t>
            </w:r>
          </w:p>
        </w:tc>
        <w:tc>
          <w:tcPr>
            <w:tcW w:type="dxa" w:w="1247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1 次</w:t>
            </w:r>
          </w:p>
        </w:tc>
        <w:tc>
          <w:tcPr>
            <w:tcW w:type="dxa" w:w="147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—</w:t>
            </w:r>
          </w:p>
        </w:tc>
        <w:tc>
          <w:tcPr>
            <w:tcW w:type="dxa" w:w="130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¥ 38,000</w:t>
            </w:r>
          </w:p>
        </w:tc>
      </w:tr>
      <w:tr>
        <w:tc>
          <w:tcPr>
            <w:tcW w:type="dxa" w:w="1814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年度技术支持</w:t>
            </w:r>
          </w:p>
        </w:tc>
        <w:tc>
          <w:tcPr>
            <w:tcW w:type="dxa" w:w="2948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Bug 修复 · 版本升级 · 工单响应（1 个工作日）</w:t>
            </w:r>
          </w:p>
        </w:tc>
        <w:tc>
          <w:tcPr>
            <w:tcW w:type="dxa" w:w="1247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含于席位年费</w:t>
            </w:r>
          </w:p>
        </w:tc>
        <w:tc>
          <w:tcPr>
            <w:tcW w:type="dxa" w:w="1474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—</w:t>
            </w:r>
          </w:p>
        </w:tc>
        <w:tc>
          <w:tcPr>
            <w:tcW w:type="dxa" w:w="1304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含  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EC99E"/>
          <w:left w:val="single" w:sz="10" w:space="0" w:color="3EC99E"/>
          <w:bottom w:val="single" w:sz="10" w:space="0" w:color="3EC99E"/>
          <w:right w:val="single" w:sz="10" w:space="0" w:color="3EC99E"/>
          <w:insideV w:val="none" w:sz="0" w:space="0" w:color="FFFFFF"/>
          <w:insideH w:val="single" w:sz="6" w:space="0" w:color="3EC99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156"/>
        <w:gridCol w:w="4156"/>
      </w:tblGrid>
      <w:tr>
        <w:tc>
          <w:tcPr>
            <w:tcW w:type="dxa" w:w="5669"/>
            <w:shd w:val="clear" w:color="auto" w:fill="F2F3F5"/>
          </w:tcPr>
          <w:p>
            <w:pPr>
              <w:spacing w:before="160" w:after="80"/>
              <w:ind w:left="20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第一年合计（含实施费）</w:t>
            </w:r>
          </w:p>
        </w:tc>
        <w:tc>
          <w:tcPr>
            <w:tcW w:type="dxa" w:w="3118"/>
            <w:shd w:val="clear" w:color="auto" w:fill="F2F3F5"/>
          </w:tcPr>
          <w:p>
            <w:pPr>
              <w:spacing w:before="160" w:after="80"/>
              <w:ind w:right="200"/>
              <w:jc w:val="right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8"/>
              </w:rPr>
              <w:t>¥ 178,000</w:t>
            </w:r>
          </w:p>
        </w:tc>
      </w:tr>
      <w:tr>
        <w:tc>
          <w:tcPr>
            <w:tcW w:type="dxa" w:w="5669"/>
          </w:tcPr>
          <w:p>
            <w:pPr>
              <w:spacing w:before="80" w:after="160"/>
              <w:ind w:left="2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第二年起年度续费</w:t>
            </w:r>
          </w:p>
        </w:tc>
        <w:tc>
          <w:tcPr>
            <w:tcW w:type="dxa" w:w="3118"/>
          </w:tcPr>
          <w:p>
            <w:pPr>
              <w:spacing w:before="80" w:after="160"/>
              <w:ind w:right="200"/>
              <w:jc w:val="right"/>
            </w:pPr>
            <w:r>
              <w:rPr>
                <w:rFonts w:ascii="Inter" w:hAnsi="Inter" w:eastAsia="Alibaba PuHuiTi 2.0" w:cs="Alibaba PuHuiTi 2.0"/>
                <w:b/>
                <w:color w:val="3D444A"/>
                <w:sz w:val="22"/>
              </w:rPr>
              <w:t>¥ 140,000 / 年</w:t>
            </w:r>
          </w:p>
        </w:tc>
      </w:tr>
    </w:tbl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5.3  报价说明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EC99E"/>
          <w:left w:val="single" w:sz="10" w:space="0" w:color="3EC99E"/>
          <w:bottom w:val="single" w:sz="10" w:space="0" w:color="3EC99E"/>
          <w:right w:val="single" w:sz="10" w:space="0" w:color="3EC99E"/>
          <w:insideV w:val="none" w:sz="0" w:space="0" w:color="FFFFFF"/>
          <w:insideH w:val="single" w:sz="4" w:space="0" w:color="D0D5DD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156"/>
        <w:gridCol w:w="4156"/>
      </w:tblGrid>
      <w:tr>
        <w:tc>
          <w:tcPr>
            <w:tcW w:type="dxa" w:w="1984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条款</w:t>
            </w:r>
          </w:p>
        </w:tc>
        <w:tc>
          <w:tcPr>
            <w:tcW w:type="dxa" w:w="6803"/>
            <w:shd w:val="clear" w:color="auto" w:fill="3EC99E"/>
            <w:tcBorders>
              <w:top w:val="single" w:sz="20" w:space="0" w:color="8FDFC5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价格说明</w:t>
            </w:r>
          </w:p>
        </w:tc>
        <w:tc>
          <w:tcPr>
            <w:tcW w:type="dxa" w:w="6803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以上报价均为不含税价，开具增值税专用发票（税率 6%）</w:t>
            </w:r>
          </w:p>
        </w:tc>
      </w:tr>
      <w:tr>
        <w:tc>
          <w:tcPr>
            <w:tcW w:type="dxa" w:w="1984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有效期</w:t>
            </w:r>
          </w:p>
        </w:tc>
        <w:tc>
          <w:tcPr>
            <w:tcW w:type="dxa" w:w="6803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本报价自文件出具之日起 60 个自然日内有效</w:t>
            </w:r>
          </w:p>
        </w:tc>
      </w:tr>
      <w:tr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长期合作优惠</w:t>
            </w:r>
          </w:p>
        </w:tc>
        <w:tc>
          <w:tcPr>
            <w:tcW w:type="dxa" w:w="6803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若合同期签署 2 年，第 2 年席位年费享九五折优惠（¥133,000 / 年）</w:t>
            </w:r>
          </w:p>
        </w:tc>
      </w:tr>
      <w:tr>
        <w:tc>
          <w:tcPr>
            <w:tcW w:type="dxa" w:w="1984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席位调整</w:t>
            </w:r>
          </w:p>
        </w:tc>
        <w:tc>
          <w:tcPr>
            <w:tcW w:type="dxa" w:w="6803"/>
            <w:shd w:val="clear" w:color="auto" w:fill="F2F3F5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合同期内如办公室人员规模发生变化，可按实际人数等比调整 A 类席位费用</w:t>
            </w:r>
          </w:p>
        </w:tc>
      </w:tr>
      <w:tr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增项服务</w:t>
            </w:r>
          </w:p>
        </w:tc>
        <w:tc>
          <w:tcPr>
            <w:tcW w:type="dxa" w:w="6803"/>
          </w:tcPr>
          <w:p>
            <w:pPr>
              <w:spacing w:before="80" w:after="8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API 对接贵司 HR 系统、特种作业证书管理模块等可作为增项单独报价</w:t>
            </w:r>
          </w:p>
        </w:tc>
      </w:tr>
    </w:tbl>
    <w:p/>
    <w:p>
      <w:pPr>
        <w:spacing w:before="80" w:after="80"/>
        <w:ind w:left="160" w:right="160"/>
        <w:pBdr>
          <w:left w:val="single" w:sz="24" w:space="12" w:color="3EC99E"/>
        </w:pBdr>
        <w:shd w:val="clear" w:color="auto" w:fill="F2F3F5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联系我们  </w:t>
      </w:r>
      <w:r>
        <w:rPr>
          <w:rFonts w:ascii="Inter" w:hAnsi="Inter" w:eastAsia="Alibaba PuHuiTi 2.0" w:cs="Alibaba PuHuiTi 2.0"/>
          <w:color w:val="8A9199"/>
          <w:sz w:val="19"/>
        </w:rPr>
        <w:t>我们已为 Vesuvius 中国区预留了专项资源，欢迎随时安排平台演示或技术对话。期待与贵团队开始这段合作。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公司名称：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未来方舟（上海）科技有限公司</w:t>
            </w:r>
          </w:p>
        </w:tc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</w:r>
          </w:p>
        </w:tc>
      </w:tr>
      <w:tr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授权签字：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＿＿＿＿＿＿＿＿＿＿＿＿</w:t>
            </w:r>
          </w:p>
        </w:tc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公司盖章：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（公章）</w:t>
            </w:r>
          </w:p>
        </w:tc>
      </w:tr>
      <w:tr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出具日期：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 xml:space="preserve">     年      月      日</w:t>
            </w:r>
          </w:p>
        </w:tc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56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394"/>
      <w:gridCol w:w="4394"/>
    </w:tblGrid>
    <w:tr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</w:pPr>
          <w:r>
            <w:rPr>
              <w:rFonts w:ascii="Inter" w:hAnsi="Inter" w:eastAsia="PingFang SC"/>
              <w:color w:val="8A9199"/>
              <w:sz w:val="16"/>
            </w:rPr>
            <w:t>未来方舟（上海）科技有限公司</w:t>
          </w:r>
        </w:p>
      </w:tc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  <w:jc w:val="right"/>
          </w:pPr>
          <w:r>
            <w:rPr>
              <w:rFonts w:ascii="Inter" w:hAnsi="Inter" w:eastAsia="PingFang SC"/>
              <w:i/>
              <w:color w:val="8A9199"/>
              <w:sz w:val="15"/>
            </w:rPr>
            <w:t>机密文件 · 仅供 Vesuvius 中国区内部参阅</w:t>
          </w:r>
        </w:p>
      </w:tc>
    </w:tr>
  </w:tbl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073"/>
      <w:gridCol w:w="2455"/>
    </w:tblGrid>
    <w:tr w14:paraId="6B21E740">
      <w:trPr>
        <w:jc w:val="center"/>
      </w:trPr>
      <w:tc>
        <w:tcPr>
          <w:tcW w:w="6236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003BD7FA">
          <w:pPr>
            <w:spacing w:before="0" w:after="0"/>
            <w:jc w:val="left"/>
            <w:rPr>
              <w:rFonts w:hint="eastAsia" w:eastAsia="SimSun"/>
              <w:lang w:eastAsia="zh-CN"/>
            </w:rPr>
          </w:pPr>
          <w:r>
            <w:rPr>
              <w:rFonts w:hint="eastAsia" w:eastAsia="SimSun"/>
              <w:lang w:eastAsia="zh-CN"/>
            </w:rPr>
            <w:drawing>
              <wp:inline distT="0" distB="0" distL="114300" distR="114300">
                <wp:extent cx="1483360" cy="376555"/>
                <wp:effectExtent l="0" t="0" r="0" b="0"/>
                <wp:docPr id="4" name="Picture 4" descr="logo-horizontal-prim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-horizontal-primary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3360" cy="376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1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21715E7B">
          <w:pPr>
            <w:spacing w:before="100"/>
            <w:jc w:val="right"/>
          </w:pPr>
          <w:r>
            <w:rPr>
              <w:rFonts w:ascii="Inter" w:hAnsi="Inter" w:eastAsia="PingFang SC"/>
              <w:color w:val="8A9199"/>
              <w:sz w:val="16"/>
            </w:rPr>
            <w:t>解决方案建议书</w:t>
          </w:r>
        </w:p>
      </w:tc>
    </w:tr>
  </w:tbl>
  <w:p w14:paraId="63DDE5CE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Inter" w:hAnsi="Inter" w:eastAsia="Alibaba PuHuiTi 2.0" w:cs="Alibaba PuHuiTi 2.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rFonts w:eastAsia="Alibaba PuHuiTi 2.0"/>
    <w:name w:val="Normal"/>
    <w:qFormat/>
    <w:rsid w:val="00FC693F"/>
    <w:rPr>
      <w:rFonts w:ascii="Inter" w:hAnsi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