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43643">
      <w:pPr>
        <w:spacing w:after="400"/>
      </w:pPr>
    </w:p>
    <w:p w14:paraId="23E8AC66">
      <w:pPr>
        <w:pStyle w:val="36"/>
        <w:spacing w:after="240"/>
        <w:jc w:val="center"/>
      </w:pPr>
      <w:r>
        <w:rPr>
          <w:rFonts w:ascii="Noto Sans CJK SC" w:hAnsi="Noto Sans CJK SC" w:eastAsia="Noto Sans CJK SC"/>
          <w:b w:val="0"/>
        </w:rPr>
        <w:t>企业培训平台功能增强建设建议书</w:t>
      </w:r>
    </w:p>
    <w:p w14:paraId="5CE4E9E1">
      <w:pPr>
        <w:pStyle w:val="164"/>
        <w:spacing w:after="560"/>
        <w:jc w:val="center"/>
      </w:pPr>
      <w:r>
        <w:rPr>
          <w:rFonts w:ascii="Noto Sans CJK SC" w:hAnsi="Noto Sans CJK SC" w:eastAsia="Noto Sans CJK SC"/>
          <w:b w:val="0"/>
        </w:rPr>
        <w:t>围绕培训内容管理、课程部署、积分激励、视频学习、培训矩阵与过程监督的建设方案</w:t>
      </w:r>
    </w:p>
    <w:tbl>
      <w:tblPr>
        <w:tblStyle w:val="12"/>
        <w:tblW w:w="0" w:type="auto"/>
        <w:jc w:val="center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D778CC2">
        <w:trPr>
          <w:jc w:val="center"/>
        </w:trPr>
        <w:tc>
          <w:tcPr>
            <w:tcW w:w="4986" w:type="dxa"/>
            <w:shd w:val="clear" w:color="auto" w:fill="E9F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AE9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E7D63"/>
                <w:sz w:val="20"/>
              </w:rPr>
              <w:t>客户单位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079A">
            <w:pPr>
              <w:jc w:val="left"/>
              <w:rPr>
                <w:rFonts w:hint="default" w:eastAsia="Noto Sans CJK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Vesuvius中国区</w:t>
            </w:r>
          </w:p>
        </w:tc>
      </w:tr>
      <w:tr w14:paraId="044F551E">
        <w:trPr>
          <w:jc w:val="center"/>
        </w:trPr>
        <w:tc>
          <w:tcPr>
            <w:tcW w:w="4986" w:type="dxa"/>
            <w:shd w:val="clear" w:color="auto" w:fill="E9F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FF4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E7D63"/>
                <w:sz w:val="20"/>
              </w:rPr>
              <w:t>项目名称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915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企业培训平台功能增强建设项目</w:t>
            </w:r>
          </w:p>
        </w:tc>
      </w:tr>
      <w:tr w14:paraId="2E6231BF">
        <w:trPr>
          <w:jc w:val="center"/>
        </w:trPr>
        <w:tc>
          <w:tcPr>
            <w:tcW w:w="4986" w:type="dxa"/>
            <w:shd w:val="clear" w:color="auto" w:fill="E9F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5A4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E7D63"/>
                <w:sz w:val="20"/>
              </w:rPr>
              <w:t>建议版本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676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 w14:paraId="48EF5EAB">
        <w:trPr>
          <w:jc w:val="center"/>
        </w:trPr>
        <w:tc>
          <w:tcPr>
            <w:tcW w:w="4986" w:type="dxa"/>
            <w:shd w:val="clear" w:color="auto" w:fill="E9F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1A8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E7D63"/>
                <w:sz w:val="20"/>
              </w:rPr>
              <w:t>建设周期</w:t>
            </w:r>
          </w:p>
        </w:tc>
        <w:tc>
          <w:tcPr>
            <w:tcW w:w="4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4A5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约 6–10 周，视最终范围确认</w:t>
            </w:r>
          </w:p>
        </w:tc>
      </w:tr>
    </w:tbl>
    <w:p w14:paraId="2462382B">
      <w:pPr>
        <w:pStyle w:val="2"/>
        <w:rPr>
          <w:rFonts w:ascii="Noto Sans CJK SC" w:hAnsi="Noto Sans CJK SC" w:eastAsia="Noto Sans CJK SC"/>
          <w:b w:val="0"/>
        </w:rPr>
      </w:pPr>
    </w:p>
    <w:p w14:paraId="610E7F62">
      <w:pPr>
        <w:pStyle w:val="2"/>
        <w:rPr>
          <w:rFonts w:ascii="Noto Sans CJK SC" w:hAnsi="Noto Sans CJK SC" w:eastAsia="Noto Sans CJK SC"/>
          <w:b w:val="0"/>
        </w:rPr>
      </w:pPr>
    </w:p>
    <w:p w14:paraId="3A575E73">
      <w:pPr>
        <w:pStyle w:val="2"/>
        <w:rPr>
          <w:rFonts w:ascii="Noto Sans CJK SC" w:hAnsi="Noto Sans CJK SC" w:eastAsia="Noto Sans CJK SC"/>
          <w:b w:val="0"/>
        </w:rPr>
      </w:pPr>
      <w:bookmarkStart w:id="0" w:name="_GoBack"/>
      <w:bookmarkEnd w:id="0"/>
    </w:p>
    <w:p w14:paraId="09BF91FE">
      <w:pPr>
        <w:pStyle w:val="2"/>
        <w:rPr>
          <w:rFonts w:ascii="Noto Sans CJK SC" w:hAnsi="Noto Sans CJK SC" w:eastAsia="Noto Sans CJK SC"/>
          <w:b w:val="0"/>
        </w:rPr>
      </w:pPr>
    </w:p>
    <w:p w14:paraId="6769C9B5">
      <w:pPr>
        <w:pStyle w:val="2"/>
        <w:rPr>
          <w:rFonts w:ascii="Noto Sans CJK SC" w:hAnsi="Noto Sans CJK SC" w:eastAsia="Noto Sans CJK SC"/>
          <w:b w:val="0"/>
        </w:rPr>
      </w:pPr>
    </w:p>
    <w:p w14:paraId="1E9AA65B">
      <w:pPr>
        <w:pStyle w:val="2"/>
        <w:rPr>
          <w:rFonts w:ascii="Noto Sans CJK SC" w:hAnsi="Noto Sans CJK SC" w:eastAsia="Noto Sans CJK SC"/>
          <w:b w:val="0"/>
        </w:rPr>
      </w:pPr>
    </w:p>
    <w:p w14:paraId="791E1747">
      <w:pPr>
        <w:pStyle w:val="2"/>
        <w:rPr>
          <w:rFonts w:ascii="Noto Sans CJK SC" w:hAnsi="Noto Sans CJK SC" w:eastAsia="Noto Sans CJK SC"/>
          <w:b w:val="0"/>
        </w:rPr>
      </w:pPr>
    </w:p>
    <w:p w14:paraId="511057E7">
      <w:pPr>
        <w:pStyle w:val="2"/>
        <w:rPr>
          <w:rFonts w:ascii="Noto Sans CJK SC" w:hAnsi="Noto Sans CJK SC" w:eastAsia="Noto Sans CJK SC"/>
          <w:b w:val="0"/>
        </w:rPr>
      </w:pPr>
    </w:p>
    <w:p w14:paraId="341605B5">
      <w:pPr>
        <w:pStyle w:val="2"/>
        <w:rPr>
          <w:rFonts w:ascii="Noto Sans CJK SC" w:hAnsi="Noto Sans CJK SC" w:eastAsia="Noto Sans CJK SC"/>
          <w:b w:val="0"/>
        </w:rPr>
      </w:pPr>
    </w:p>
    <w:p w14:paraId="58345135">
      <w:pPr>
        <w:pStyle w:val="2"/>
        <w:rPr>
          <w:rFonts w:ascii="Noto Sans CJK SC" w:hAnsi="Noto Sans CJK SC" w:eastAsia="Noto Sans CJK SC"/>
          <w:b w:val="0"/>
        </w:rPr>
      </w:pPr>
    </w:p>
    <w:p w14:paraId="68D35F6F">
      <w:pPr>
        <w:pStyle w:val="2"/>
        <w:rPr>
          <w:rFonts w:ascii="Noto Sans CJK SC" w:hAnsi="Noto Sans CJK SC" w:eastAsia="Noto Sans CJK SC"/>
          <w:b w:val="0"/>
        </w:rPr>
      </w:pPr>
    </w:p>
    <w:p w14:paraId="602DBA87">
      <w:pPr>
        <w:rPr>
          <w:rFonts w:ascii="Noto Sans CJK SC" w:hAnsi="Noto Sans CJK SC" w:eastAsia="Noto Sans CJK SC"/>
          <w:b w:val="0"/>
        </w:rPr>
      </w:pPr>
    </w:p>
    <w:p w14:paraId="5BB0D77B">
      <w:pPr>
        <w:rPr>
          <w:rFonts w:ascii="Noto Sans CJK SC" w:hAnsi="Noto Sans CJK SC" w:eastAsia="Noto Sans CJK SC"/>
          <w:b w:val="0"/>
        </w:rPr>
      </w:pPr>
    </w:p>
    <w:p w14:paraId="62421448">
      <w:pPr>
        <w:pStyle w:val="2"/>
      </w:pPr>
      <w:r>
        <w:rPr>
          <w:rFonts w:ascii="Noto Sans CJK SC" w:hAnsi="Noto Sans CJK SC" w:eastAsia="Noto Sans CJK SC"/>
          <w:b w:val="0"/>
        </w:rPr>
        <w:t>目录</w:t>
      </w:r>
    </w:p>
    <w:p w14:paraId="41A88036">
      <w:pPr>
        <w:ind w:left="340" w:hanging="159"/>
      </w:pPr>
      <w:r>
        <w:rPr>
          <w:rFonts w:ascii="Noto Sans CJK SC" w:hAnsi="Noto Sans CJK SC" w:eastAsia="Noto Sans CJK SC"/>
          <w:sz w:val="21"/>
        </w:rPr>
        <w:t>• 1 项目理解与建设目标</w:t>
      </w:r>
    </w:p>
    <w:p w14:paraId="69DE92F0">
      <w:pPr>
        <w:ind w:left="340" w:hanging="159"/>
      </w:pPr>
      <w:r>
        <w:rPr>
          <w:rFonts w:ascii="Noto Sans CJK SC" w:hAnsi="Noto Sans CJK SC" w:eastAsia="Noto Sans CJK SC"/>
          <w:sz w:val="21"/>
        </w:rPr>
        <w:t>• 2 本期建设范围</w:t>
      </w:r>
    </w:p>
    <w:p w14:paraId="3297C9BC">
      <w:pPr>
        <w:ind w:left="340" w:hanging="159"/>
      </w:pPr>
      <w:r>
        <w:rPr>
          <w:rFonts w:ascii="Noto Sans CJK SC" w:hAnsi="Noto Sans CJK SC" w:eastAsia="Noto Sans CJK SC"/>
          <w:sz w:val="21"/>
        </w:rPr>
        <w:t>• 3 业务流程与系统架构</w:t>
      </w:r>
    </w:p>
    <w:p w14:paraId="1F23747A">
      <w:pPr>
        <w:ind w:left="340" w:hanging="159"/>
      </w:pPr>
      <w:r>
        <w:rPr>
          <w:rFonts w:ascii="Noto Sans CJK SC" w:hAnsi="Noto Sans CJK SC" w:eastAsia="Noto Sans CJK SC"/>
          <w:sz w:val="21"/>
        </w:rPr>
        <w:t>• 4 功能模块建设方案</w:t>
      </w:r>
    </w:p>
    <w:p w14:paraId="60F7D786">
      <w:pPr>
        <w:ind w:left="340" w:hanging="159"/>
      </w:pPr>
      <w:r>
        <w:rPr>
          <w:rFonts w:ascii="Noto Sans CJK SC" w:hAnsi="Noto Sans CJK SC" w:eastAsia="Noto Sans CJK SC"/>
          <w:sz w:val="21"/>
        </w:rPr>
        <w:t>• 4.1 培训内容管理</w:t>
      </w:r>
    </w:p>
    <w:p w14:paraId="7789904A">
      <w:pPr>
        <w:ind w:left="340" w:hanging="159"/>
      </w:pPr>
      <w:r>
        <w:rPr>
          <w:rFonts w:ascii="Noto Sans CJK SC" w:hAnsi="Noto Sans CJK SC" w:eastAsia="Noto Sans CJK SC"/>
          <w:sz w:val="21"/>
        </w:rPr>
        <w:t>• 4.2 课程部署</w:t>
      </w:r>
    </w:p>
    <w:p w14:paraId="5DD1B921">
      <w:pPr>
        <w:ind w:left="340" w:hanging="159"/>
      </w:pPr>
      <w:r>
        <w:rPr>
          <w:rFonts w:ascii="Noto Sans CJK SC" w:hAnsi="Noto Sans CJK SC" w:eastAsia="Noto Sans CJK SC"/>
          <w:sz w:val="21"/>
        </w:rPr>
        <w:t>• 4.3 正负积分体系</w:t>
      </w:r>
    </w:p>
    <w:p w14:paraId="7E6AE04C">
      <w:pPr>
        <w:ind w:left="340" w:hanging="159"/>
      </w:pPr>
      <w:r>
        <w:rPr>
          <w:rFonts w:ascii="Noto Sans CJK SC" w:hAnsi="Noto Sans CJK SC" w:eastAsia="Noto Sans CJK SC"/>
          <w:sz w:val="21"/>
        </w:rPr>
        <w:t>• 4.4 视频上传与播放</w:t>
      </w:r>
    </w:p>
    <w:p w14:paraId="25700CFD">
      <w:pPr>
        <w:ind w:left="340" w:hanging="159"/>
      </w:pPr>
      <w:r>
        <w:rPr>
          <w:rFonts w:ascii="Noto Sans CJK SC" w:hAnsi="Noto Sans CJK SC" w:eastAsia="Noto Sans CJK SC"/>
          <w:sz w:val="21"/>
        </w:rPr>
        <w:t>• 4.5 培训矩阵</w:t>
      </w:r>
    </w:p>
    <w:p w14:paraId="0E4C9F0E">
      <w:pPr>
        <w:ind w:left="340" w:hanging="159"/>
      </w:pPr>
      <w:r>
        <w:rPr>
          <w:rFonts w:ascii="Noto Sans CJK SC" w:hAnsi="Noto Sans CJK SC" w:eastAsia="Noto Sans CJK SC"/>
          <w:sz w:val="21"/>
        </w:rPr>
        <w:t>• 4.6 学习过程防挂机机制</w:t>
      </w:r>
    </w:p>
    <w:p w14:paraId="289F5955">
      <w:pPr>
        <w:ind w:left="340" w:hanging="159"/>
      </w:pPr>
      <w:r>
        <w:rPr>
          <w:rFonts w:ascii="Noto Sans CJK SC" w:hAnsi="Noto Sans CJK SC" w:eastAsia="Noto Sans CJK SC"/>
          <w:sz w:val="21"/>
        </w:rPr>
        <w:t>• 4.7 数据统计与台账输出</w:t>
      </w:r>
    </w:p>
    <w:p w14:paraId="739CE1F4">
      <w:pPr>
        <w:ind w:left="340" w:hanging="159"/>
      </w:pPr>
      <w:r>
        <w:rPr>
          <w:rFonts w:ascii="Noto Sans CJK SC" w:hAnsi="Noto Sans CJK SC" w:eastAsia="Noto Sans CJK SC"/>
          <w:sz w:val="21"/>
        </w:rPr>
        <w:t>• 5 技术实现方案</w:t>
      </w:r>
    </w:p>
    <w:p w14:paraId="153A614B">
      <w:pPr>
        <w:ind w:left="340" w:hanging="159"/>
      </w:pPr>
      <w:r>
        <w:rPr>
          <w:rFonts w:ascii="Noto Sans CJK SC" w:hAnsi="Noto Sans CJK SC" w:eastAsia="Noto Sans CJK SC"/>
          <w:sz w:val="21"/>
        </w:rPr>
        <w:t>• 6 实施计划与项目管理</w:t>
      </w:r>
      <w:r>
        <w:br w:type="page"/>
      </w:r>
    </w:p>
    <w:p w14:paraId="488E79A7">
      <w:pPr>
        <w:pStyle w:val="2"/>
      </w:pPr>
      <w:r>
        <w:rPr>
          <w:rFonts w:ascii="Noto Sans CJK SC" w:hAnsi="Noto Sans CJK SC" w:eastAsia="Noto Sans CJK SC"/>
          <w:b/>
          <w:color w:val="2E7D63"/>
          <w:sz w:val="34"/>
        </w:rPr>
        <w:t>1  项目理解与建设目标</w:t>
      </w:r>
    </w:p>
    <w:p w14:paraId="4014D1D5">
      <w:r>
        <w:rPr>
          <w:rFonts w:ascii="Noto Sans CJK SC" w:hAnsi="Noto Sans CJK SC" w:eastAsia="Noto Sans CJK SC"/>
          <w:b w:val="0"/>
        </w:rPr>
        <w:t>本项目是在现有企业培训平台基础上进行功能增强，重点补齐培训执行、学习激励、视频学习、培训完成度可视化和学习过程监督能力。建设目标不是单独开发几个页面，而是形成一条相对完整的管理链路：课程内容可管理、课程任务可部署、学习过程可追踪、完成结果可统计、积分奖惩可沉淀、检查资料可导出。</w:t>
      </w:r>
    </w:p>
    <w:p w14:paraId="01FCC458">
      <w:r>
        <w:rPr>
          <w:rFonts w:ascii="Noto Sans CJK SC" w:hAnsi="Noto Sans CJK SC" w:eastAsia="Noto Sans CJK SC"/>
          <w:b w:val="0"/>
        </w:rPr>
        <w:t>结合企业安全培训、岗位培训、制度宣导和内部考核场景，本期建议优先建设以下目标：</w:t>
      </w:r>
    </w:p>
    <w:p w14:paraId="3AF28962">
      <w:pPr>
        <w:ind w:left="340" w:hanging="198"/>
      </w:pPr>
      <w:r>
        <w:rPr>
          <w:rFonts w:ascii="Noto Sans CJK SC" w:hAnsi="Noto Sans CJK SC" w:eastAsia="Noto Sans CJK SC"/>
          <w:sz w:val="21"/>
        </w:rPr>
        <w:t>1. 提升培训任务执行率。通过课程部署、学习提醒、完成度统计和积分奖惩，让培训任务从“已发布”真正走向“被完成”。</w:t>
      </w:r>
    </w:p>
    <w:p w14:paraId="22098FCE">
      <w:pPr>
        <w:ind w:left="340" w:hanging="198"/>
      </w:pPr>
      <w:r>
        <w:rPr>
          <w:rFonts w:ascii="Noto Sans CJK SC" w:hAnsi="Noto Sans CJK SC" w:eastAsia="Noto Sans CJK SC"/>
          <w:sz w:val="21"/>
        </w:rPr>
        <w:t>2. 提升员工学习参与度。通过正向积分、逾期扣分、个人积分记录等方式，形成基础激励和约束。</w:t>
      </w:r>
    </w:p>
    <w:p w14:paraId="468C0F0C">
      <w:pPr>
        <w:ind w:left="340" w:hanging="198"/>
      </w:pPr>
      <w:r>
        <w:rPr>
          <w:rFonts w:ascii="Noto Sans CJK SC" w:hAnsi="Noto Sans CJK SC" w:eastAsia="Noto Sans CJK SC"/>
          <w:sz w:val="21"/>
        </w:rPr>
        <w:t>3. 支持视频化培训。企业可上传培训视频，员工可在线播放，系统记录观看进度和完成情况。</w:t>
      </w:r>
    </w:p>
    <w:p w14:paraId="301BE62B">
      <w:pPr>
        <w:ind w:left="340" w:hanging="198"/>
      </w:pPr>
      <w:r>
        <w:rPr>
          <w:rFonts w:ascii="Noto Sans CJK SC" w:hAnsi="Noto Sans CJK SC" w:eastAsia="Noto Sans CJK SC"/>
          <w:sz w:val="21"/>
        </w:rPr>
        <w:t>4. 提升管理可视化能力。通过培训矩阵展示员工、岗位、职能、课程和完成率，减少人工 Excel 统计。</w:t>
      </w:r>
    </w:p>
    <w:p w14:paraId="6D498C86">
      <w:pPr>
        <w:ind w:left="340" w:hanging="198"/>
      </w:pPr>
      <w:r>
        <w:rPr>
          <w:rFonts w:ascii="Noto Sans CJK SC" w:hAnsi="Noto Sans CJK SC" w:eastAsia="Noto Sans CJK SC"/>
          <w:sz w:val="21"/>
        </w:rPr>
        <w:t>5. 降低无效学习风险。通过长时间无操作提醒、页面切出记录、视频观看进度限制等机制，减少挂机、代刷和无效学习。</w:t>
      </w:r>
    </w:p>
    <w:p w14:paraId="3A226952">
      <w:pPr>
        <w:ind w:left="340" w:hanging="198"/>
      </w:pPr>
      <w:r>
        <w:rPr>
          <w:rFonts w:ascii="Noto Sans CJK SC" w:hAnsi="Noto Sans CJK SC" w:eastAsia="Noto Sans CJK SC"/>
          <w:sz w:val="21"/>
        </w:rPr>
        <w:t>6. 保留合规扩展空间。培训记录、考试记录、积分记录、课程版本和导出报表后续可继续扩展为迎检台账、资质档案和岗位培训覆盖分析。</w:t>
      </w:r>
    </w:p>
    <w:tbl>
      <w:tblPr>
        <w:tblStyle w:val="12"/>
        <w:tblW w:w="0" w:type="auto"/>
        <w:jc w:val="center"/>
        <w:tblBorders>
          <w:top w:val="single" w:color="B7D8CB" w:sz="8" w:space="0"/>
          <w:left w:val="single" w:color="B7D8CB" w:sz="8" w:space="0"/>
          <w:bottom w:val="single" w:color="B7D8CB" w:sz="8" w:space="0"/>
          <w:right w:val="single" w:color="B7D8CB" w:sz="8" w:space="0"/>
          <w:insideH w:val="single" w:color="B7D8CB" w:sz="8" w:space="0"/>
          <w:insideV w:val="single" w:color="B7D8CB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BEB15E7">
        <w:trPr>
          <w:jc w:val="center"/>
        </w:trPr>
        <w:tc>
          <w:tcPr>
            <w:tcW w:w="9972" w:type="dxa"/>
            <w:shd w:val="clear" w:color="auto" w:fill="E9F6F1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4800320">
            <w:r>
              <w:rPr>
                <w:rFonts w:ascii="Noto Sans CJK SC" w:hAnsi="Noto Sans CJK SC" w:eastAsia="Noto Sans CJK SC"/>
                <w:b/>
                <w:color w:val="2E7D63"/>
                <w:sz w:val="21"/>
              </w:rPr>
              <w:t>本期建设主线</w:t>
            </w:r>
          </w:p>
          <w:p w14:paraId="3A43DE5E">
            <w:r>
              <w:rPr>
                <w:rFonts w:ascii="Noto Sans CJK SC" w:hAnsi="Noto Sans CJK SC" w:eastAsia="Noto Sans CJK SC"/>
                <w:color w:val="333333"/>
                <w:sz w:val="20"/>
              </w:rPr>
              <w:t>从“能建课、能学习”进一步升级为“能部署、能监督、能激励、能统计、能导出”。</w:t>
            </w:r>
          </w:p>
        </w:tc>
      </w:tr>
    </w:tbl>
    <w:p w14:paraId="58ADF93B">
      <w:pPr>
        <w:pStyle w:val="2"/>
      </w:pPr>
      <w:r>
        <w:rPr>
          <w:rFonts w:ascii="Noto Sans CJK SC" w:hAnsi="Noto Sans CJK SC" w:eastAsia="Noto Sans CJK SC"/>
          <w:b/>
          <w:color w:val="2E7D63"/>
          <w:sz w:val="34"/>
        </w:rPr>
        <w:t>2  本期建设范围</w:t>
      </w:r>
    </w:p>
    <w:p w14:paraId="0CB36EE7">
      <w:r>
        <w:rPr>
          <w:rFonts w:ascii="Noto Sans CJK SC" w:hAnsi="Noto Sans CJK SC" w:eastAsia="Noto Sans CJK SC"/>
          <w:b w:val="0"/>
        </w:rPr>
        <w:t>本期建设建议围绕七个功能版块展开，其中培训内容管理与课程部署为业务基础，积分体系、视频学习、培训矩阵和防挂机机制为本期增强重点，数据统计与台账输出用于承接客户管理和检查需求。</w:t>
      </w:r>
    </w:p>
    <w:tbl>
      <w:tblPr>
        <w:tblStyle w:val="35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2835"/>
      </w:tblGrid>
      <w:tr w14:paraId="773DA832">
        <w:trPr>
          <w:jc w:val="center"/>
        </w:trPr>
        <w:tc>
          <w:tcPr>
            <w:tcW w:w="1701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FF4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w="4535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8CCC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本期建设内容</w:t>
            </w:r>
          </w:p>
        </w:tc>
        <w:tc>
          <w:tcPr>
            <w:tcW w:w="2835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FBC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建设价值</w:t>
            </w:r>
          </w:p>
        </w:tc>
      </w:tr>
      <w:tr w14:paraId="5D31F15A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907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培训内容管理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B55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课程内容编辑、课程完成设置、内容审核流、课程版本信息维护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BF2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保证课程内容可编辑、可审核、可发布，降低培训内容管理风险</w:t>
            </w:r>
          </w:p>
        </w:tc>
      </w:tr>
      <w:tr w14:paraId="7793BE42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4B4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课程部署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8A8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按人员、部门、岗位、职能、班组等维度分配课程，设置开始时间、截止时间、完成要求和提醒规则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A92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让课程从内容资源变成可执行培训任务</w:t>
            </w:r>
          </w:p>
        </w:tc>
      </w:tr>
      <w:tr w14:paraId="1A90DF6F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9D3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正负积分体系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6B8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学习加分、逾期扣分、积分流水、个人积分展示、后台查询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204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提升参与度，形成正向激励与基础约束</w:t>
            </w:r>
          </w:p>
        </w:tc>
      </w:tr>
      <w:tr w14:paraId="7A5CDA9F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50B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视频上传与播放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70F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课程视频上传、在线播放、断点续播、观看进度记录、完成规则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4BA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支持企业视频化培训和过程留痕</w:t>
            </w:r>
          </w:p>
        </w:tc>
      </w:tr>
      <w:tr w14:paraId="7E2DFAA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72D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培训矩阵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FE5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员工、岗位、职能、课程完成度、完成率、逾期情况等矩阵展示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A95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帮助管理者快速掌握培训覆盖情况</w:t>
            </w:r>
          </w:p>
        </w:tc>
      </w:tr>
      <w:tr w14:paraId="4FA8C3FE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E9D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防挂机机制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8EC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无操作提醒、页面切出提示、视频拖拽控制、观看有效性校验、复核记录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BA8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减少形式化学习和无效观看</w:t>
            </w:r>
          </w:p>
        </w:tc>
      </w:tr>
      <w:tr w14:paraId="628CE870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F8D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数据统计与台账输出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74E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完成度统计、积分统计、视频学习记录、课程完成报表、Excel 导出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F09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支撑内部管理和后续迎检台账扩展</w:t>
            </w:r>
          </w:p>
        </w:tc>
      </w:tr>
    </w:tbl>
    <w:p w14:paraId="53A50EAE">
      <w:pPr>
        <w:spacing w:after="40"/>
      </w:pPr>
    </w:p>
    <w:p w14:paraId="6D382632">
      <w:r>
        <w:rPr>
          <w:rFonts w:ascii="Noto Sans CJK SC" w:hAnsi="Noto Sans CJK SC" w:eastAsia="Noto Sans CJK SC"/>
          <w:b w:val="0"/>
        </w:rPr>
        <w:t>为控制一期范围，本建议书不将人脸识别、活体检测、复杂视频转码、多清晰度播放、岗位风险匹配度自动评分、积分商城等能力纳入默认建设范围。上述能力可作为后续增强内容。</w:t>
      </w:r>
    </w:p>
    <w:p w14:paraId="3A0C1AF6">
      <w:pPr>
        <w:pStyle w:val="2"/>
      </w:pPr>
      <w:r>
        <w:rPr>
          <w:rFonts w:ascii="Noto Sans CJK SC" w:hAnsi="Noto Sans CJK SC" w:eastAsia="Noto Sans CJK SC"/>
          <w:b/>
          <w:color w:val="2E7D63"/>
          <w:sz w:val="34"/>
        </w:rPr>
        <w:t>3  业务流程与系统架构</w:t>
      </w:r>
    </w:p>
    <w:p w14:paraId="621C0077">
      <w:r>
        <w:rPr>
          <w:rFonts w:ascii="Noto Sans CJK SC" w:hAnsi="Noto Sans CJK SC" w:eastAsia="Noto Sans CJK SC"/>
          <w:b w:val="0"/>
        </w:rPr>
        <w:t>本期建议采用“内容准备—审核发布—课程部署—学习执行—过程监督—积分计算—矩阵统计—资料导出”的流程设计。该流程覆盖管理员、学员、部门负责人和培训管理人员的主要操作场景。</w:t>
      </w:r>
    </w:p>
    <w:tbl>
      <w:tblPr>
        <w:tblStyle w:val="35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422"/>
        <w:gridCol w:w="3175"/>
      </w:tblGrid>
      <w:tr w14:paraId="5AD84819">
        <w:trPr>
          <w:jc w:val="center"/>
        </w:trPr>
        <w:tc>
          <w:tcPr>
            <w:tcW w:w="1474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5A9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w="4422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DA8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主要动作</w:t>
            </w:r>
          </w:p>
        </w:tc>
        <w:tc>
          <w:tcPr>
            <w:tcW w:w="3175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DAD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系统输出</w:t>
            </w:r>
          </w:p>
        </w:tc>
      </w:tr>
      <w:tr w14:paraId="4DDC7CF4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5D2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内容准备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124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管理员编辑课程内容，上传文档、图片、视频，设置章节与考试内容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1B9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形成课程草稿和课程内容结构</w:t>
            </w:r>
          </w:p>
        </w:tc>
      </w:tr>
      <w:tr w14:paraId="0337EE15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A49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审核发布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488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提交课程审核，审核通过后发布正式版本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08E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形成可部署课程版本</w:t>
            </w:r>
          </w:p>
        </w:tc>
      </w:tr>
      <w:tr w14:paraId="55CD19B6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433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课程部署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7EA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选择培训对象，设置开始时间、截止时间、完成要求和提醒方式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652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形成培训任务</w:t>
            </w:r>
          </w:p>
        </w:tc>
      </w:tr>
      <w:tr w14:paraId="6458EFE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CD0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学习执行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FC8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学员进入课程，学习图文内容或视频内容，完成章节小测或考试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19BB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形成学习记录和考试记录</w:t>
            </w:r>
          </w:p>
        </w:tc>
      </w:tr>
      <w:tr w14:paraId="75633F52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BA9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过程监督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B18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系统对长时间无操作、页面切出、视频未完整观看等情况进行提示和记录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84A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形成可复核的过程记录</w:t>
            </w:r>
          </w:p>
        </w:tc>
      </w:tr>
      <w:tr w14:paraId="5C91E6C7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244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积分计算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84E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按规则自动加分或扣分，形成积分流水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2AE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形成个人积分和管理端积分记录</w:t>
            </w:r>
          </w:p>
        </w:tc>
      </w:tr>
      <w:tr w14:paraId="1B27F434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DF6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矩阵统计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EEC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按员工、部门、岗位、职能、课程维度展示完成情况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2162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形成培训矩阵和完成率分析</w:t>
            </w:r>
          </w:p>
        </w:tc>
      </w:tr>
      <w:tr w14:paraId="2F73E782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F797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资料导出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E70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导出培训记录、完成情况、考试结果和积分明细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2C4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形成内部管理报表和台账基础数据</w:t>
            </w:r>
          </w:p>
        </w:tc>
      </w:tr>
    </w:tbl>
    <w:p w14:paraId="56A82028">
      <w:pPr>
        <w:spacing w:after="40"/>
      </w:pPr>
    </w:p>
    <w:p w14:paraId="54D8492B">
      <w:r>
        <w:rPr>
          <w:rFonts w:ascii="Noto Sans CJK SC" w:hAnsi="Noto Sans CJK SC" w:eastAsia="Noto Sans CJK SC"/>
          <w:b w:val="0"/>
        </w:rPr>
        <w:t>建议的系统功能架构如下：</w:t>
      </w:r>
    </w:p>
    <w:tbl>
      <w:tblPr>
        <w:tblStyle w:val="35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350"/>
      </w:tblGrid>
      <w:tr w14:paraId="62612097">
        <w:trPr>
          <w:jc w:val="center"/>
        </w:trPr>
        <w:tc>
          <w:tcPr>
            <w:tcW w:w="2381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564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一级模块</w:t>
            </w:r>
          </w:p>
        </w:tc>
        <w:tc>
          <w:tcPr>
            <w:tcW w:w="6350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CB6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二级能力</w:t>
            </w:r>
          </w:p>
        </w:tc>
      </w:tr>
      <w:tr w14:paraId="529DD477">
        <w:trPr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356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培训内容管理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A35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课程内容编辑、附件管理、视频内容、完成设置、考试设置、审核流、版本记录</w:t>
            </w:r>
          </w:p>
        </w:tc>
      </w:tr>
      <w:tr w14:paraId="60499670">
        <w:trPr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64A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课程部署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44D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对象选择、任务时间、提醒设置、部署记录、完成跟踪、撤销与归档</w:t>
            </w:r>
          </w:p>
        </w:tc>
      </w:tr>
      <w:tr w14:paraId="3369E94E">
        <w:trPr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98E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学习执行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A5A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课程学习、视频播放、章节小测、课程考试、断点续学、完成判断</w:t>
            </w:r>
          </w:p>
        </w:tc>
      </w:tr>
      <w:tr w14:paraId="1A301F4D">
        <w:trPr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243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积分体系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DAC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积分规则、加分扣分、积分流水、个人积分、管理端查询</w:t>
            </w:r>
          </w:p>
        </w:tc>
      </w:tr>
      <w:tr w14:paraId="57B0E486">
        <w:trPr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794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培训矩阵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16B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员工矩阵、岗位矩阵、职能矩阵、课程完成度、部门统计、导出</w:t>
            </w:r>
          </w:p>
        </w:tc>
      </w:tr>
      <w:tr w14:paraId="228124FF">
        <w:trPr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04F2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学习监督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DAF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无操作提醒、切出提示、观看进度限制、视频拖拽限制、过程复核</w:t>
            </w:r>
          </w:p>
        </w:tc>
      </w:tr>
      <w:tr w14:paraId="34D928CA">
        <w:trPr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6BF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数据报表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C27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完成率、通过率、逾期统计、积分统计、学习记录、考试记录、导出</w:t>
            </w:r>
          </w:p>
        </w:tc>
      </w:tr>
    </w:tbl>
    <w:p w14:paraId="74F3CB16">
      <w:pPr>
        <w:spacing w:after="40"/>
      </w:pPr>
    </w:p>
    <w:p w14:paraId="5181B56A">
      <w:pPr>
        <w:pStyle w:val="2"/>
      </w:pPr>
      <w:r>
        <w:rPr>
          <w:rFonts w:ascii="Noto Sans CJK SC" w:hAnsi="Noto Sans CJK SC" w:eastAsia="Noto Sans CJK SC"/>
          <w:b/>
          <w:color w:val="2E7D63"/>
          <w:sz w:val="34"/>
        </w:rPr>
        <w:t>4  功能模块建设方案</w:t>
      </w:r>
    </w:p>
    <w:p w14:paraId="63F79A26">
      <w:pPr>
        <w:pStyle w:val="3"/>
      </w:pPr>
      <w:r>
        <w:rPr>
          <w:rFonts w:ascii="Noto Sans CJK SC" w:hAnsi="Noto Sans CJK SC" w:eastAsia="Noto Sans CJK SC"/>
          <w:b w:val="0"/>
        </w:rPr>
        <w:t>4.1 培训内容管理</w:t>
      </w:r>
    </w:p>
    <w:p w14:paraId="1E0EFA0A">
      <w:r>
        <w:rPr>
          <w:rFonts w:ascii="Noto Sans CJK SC" w:hAnsi="Noto Sans CJK SC" w:eastAsia="Noto Sans CJK SC"/>
          <w:b w:val="0"/>
        </w:rPr>
        <w:t>培训内容管理是本期功能的基础。平台需要支持管理员对课程内容进行持续编辑和维护，并通过完成设置与内容审核流确保课程可控发布。</w:t>
      </w:r>
    </w:p>
    <w:tbl>
      <w:tblPr>
        <w:tblStyle w:val="35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365"/>
        <w:gridCol w:w="2608"/>
      </w:tblGrid>
      <w:tr w14:paraId="04B9CEA3">
        <w:trPr>
          <w:jc w:val="center"/>
        </w:trPr>
        <w:tc>
          <w:tcPr>
            <w:tcW w:w="1757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034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w="4365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E7F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  <w:tc>
          <w:tcPr>
            <w:tcW w:w="2608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EE8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一期范围</w:t>
            </w:r>
          </w:p>
        </w:tc>
      </w:tr>
      <w:tr w14:paraId="77231476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7E4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课程内容编辑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89A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支持课程标题、简介、章节、页面内容、图片、附件、视频、测验等内容编辑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9B7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支持基础图文与视频内容维护，支持章节结构调整</w:t>
            </w:r>
          </w:p>
        </w:tc>
      </w:tr>
      <w:tr w14:paraId="59F24695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730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课程附件管理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5F4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支持文档、图片等材料上传并关联到课程或章节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8A9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每门课程默认支持 10 份材料；单份文档建议不超过 10MB，图片不超过 5MB，可按项目配置扩展</w:t>
            </w:r>
          </w:p>
        </w:tc>
      </w:tr>
      <w:tr w14:paraId="03E64734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EB9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课程视频内容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F58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支持在课程章节中上传并引用视频内容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1B6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 MP4 格式优先，记录播放进度和完成状态</w:t>
            </w:r>
          </w:p>
        </w:tc>
      </w:tr>
      <w:tr w14:paraId="1F652E69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FBD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课程完成设置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9D9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配置学习完成规则，例如必修章节完成、视频观看比例、考试通过、最低学习时长等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79F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支持常用完成条件配置，复杂规则二期扩展</w:t>
            </w:r>
          </w:p>
        </w:tc>
      </w:tr>
      <w:tr w14:paraId="791877D5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F1D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考试与测验设置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0EF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支持章节小测或课程考试，用于验证学习效果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697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支持题目维护、AI 出题或人工出题的接口预留，具体 AI 生成范围按项目确认</w:t>
            </w:r>
          </w:p>
        </w:tc>
      </w:tr>
      <w:tr w14:paraId="077BE98C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BD5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内容审核流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E02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课程发布前可经过培训负责人或 EHS 负责人审核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C89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支持提交审核、审核通过、退回修改、发布记录</w:t>
            </w:r>
          </w:p>
        </w:tc>
      </w:tr>
      <w:tr w14:paraId="0D0EF3E9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5E5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版本记录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BFA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发布后的课程形成版本记录，后续改动可留痕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AA5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支持基础版本号、发布时间、发布人记录</w:t>
            </w:r>
          </w:p>
        </w:tc>
      </w:tr>
    </w:tbl>
    <w:p w14:paraId="0FE070DA">
      <w:pPr>
        <w:spacing w:after="40"/>
      </w:pPr>
    </w:p>
    <w:p w14:paraId="61021D2A">
      <w:r>
        <w:rPr>
          <w:rFonts w:ascii="Noto Sans CJK SC" w:hAnsi="Noto Sans CJK SC" w:eastAsia="Noto Sans CJK SC"/>
          <w:b w:val="0"/>
        </w:rPr>
        <w:t>课程完成设置建议采用“规则组合”的方式，不将所有课程强制成同一种完成标准。制度宣导类课程可采用阅读确认；安全培训类课程建议加入视频观看比例和考试通过；资质相关课程可加入证书或复训要求。</w:t>
      </w:r>
    </w:p>
    <w:p w14:paraId="287E09A3">
      <w:pPr>
        <w:pStyle w:val="3"/>
      </w:pPr>
      <w:r>
        <w:rPr>
          <w:rFonts w:ascii="Noto Sans CJK SC" w:hAnsi="Noto Sans CJK SC" w:eastAsia="Noto Sans CJK SC"/>
          <w:b w:val="0"/>
        </w:rPr>
        <w:t>4.2 课程部署</w:t>
      </w:r>
    </w:p>
    <w:p w14:paraId="3D48084B">
      <w:r>
        <w:rPr>
          <w:rFonts w:ascii="Noto Sans CJK SC" w:hAnsi="Noto Sans CJK SC" w:eastAsia="Noto Sans CJK SC"/>
          <w:b w:val="0"/>
        </w:rPr>
        <w:t>课程部署用于把已发布课程转化为具体培训任务，是连接课程内容和员工学习的关键模块。本期建议将课程部署作为独立版块建设，避免课程发布后仍依赖人工通知或线下统计。</w:t>
      </w:r>
    </w:p>
    <w:tbl>
      <w:tblPr>
        <w:tblStyle w:val="35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365"/>
        <w:gridCol w:w="2608"/>
      </w:tblGrid>
      <w:tr w14:paraId="42D646EC">
        <w:trPr>
          <w:jc w:val="center"/>
        </w:trPr>
        <w:tc>
          <w:tcPr>
            <w:tcW w:w="1757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7AA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w="4365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768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  <w:tc>
          <w:tcPr>
            <w:tcW w:w="2608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5AC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一期范围</w:t>
            </w:r>
          </w:p>
        </w:tc>
      </w:tr>
      <w:tr w14:paraId="5A2ED95F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07D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部署对象选择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D7E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支持按员工、部门、岗位、职能、班组等维度选择培训对象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16C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至少支持人员、部门、岗位三类维度，可根据客户组织数据扩展</w:t>
            </w:r>
          </w:p>
        </w:tc>
      </w:tr>
      <w:tr w14:paraId="51E7479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970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部署时间设置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ADB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设置课程开始时间、截止时间、是否立即生效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465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支持立即开始和定时开始</w:t>
            </w:r>
          </w:p>
        </w:tc>
      </w:tr>
      <w:tr w14:paraId="3014F1E0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210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完成要求绑定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AE4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部署时引用课程完成设置，也可对本次任务补充截止规则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BD9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支持课程级完成规则与任务截止时间</w:t>
            </w:r>
          </w:p>
        </w:tc>
      </w:tr>
      <w:tr w14:paraId="35EF7F2F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4DF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学习提醒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50A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对未开始、临近截止、逾期未完成等状态进行系统提醒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D182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一期以站内提醒或后台提示为主，短信和企业微信可作为扩展</w:t>
            </w:r>
          </w:p>
        </w:tc>
      </w:tr>
      <w:tr w14:paraId="15504865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F3A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部署状态管理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685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展示待开始、进行中、已完成、已撤销、已归档等状态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732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支持基础状态流转与记录</w:t>
            </w:r>
          </w:p>
        </w:tc>
      </w:tr>
      <w:tr w14:paraId="70BD0698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E6D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部署历史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5EA6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保留每次课程部署的对象、时间、课程版本和完成情况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B43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支持管理端查询与导出</w:t>
            </w:r>
          </w:p>
        </w:tc>
      </w:tr>
      <w:tr w14:paraId="106519A0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FF4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任务完成跟踪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04A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管理员可查看本次部署的完成率、未完成人员、逾期人员和考试通过情况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E8F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支持列表、筛选和基础统计</w:t>
            </w:r>
          </w:p>
        </w:tc>
      </w:tr>
    </w:tbl>
    <w:p w14:paraId="6DE82646">
      <w:pPr>
        <w:spacing w:after="40"/>
      </w:pPr>
    </w:p>
    <w:tbl>
      <w:tblPr>
        <w:tblStyle w:val="12"/>
        <w:tblW w:w="0" w:type="auto"/>
        <w:jc w:val="center"/>
        <w:tblBorders>
          <w:top w:val="single" w:color="B7D8CB" w:sz="8" w:space="0"/>
          <w:left w:val="single" w:color="B7D8CB" w:sz="8" w:space="0"/>
          <w:bottom w:val="single" w:color="B7D8CB" w:sz="8" w:space="0"/>
          <w:right w:val="single" w:color="B7D8CB" w:sz="8" w:space="0"/>
          <w:insideH w:val="single" w:color="B7D8CB" w:sz="8" w:space="0"/>
          <w:insideV w:val="single" w:color="B7D8CB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C323F62">
        <w:trPr>
          <w:jc w:val="center"/>
        </w:trPr>
        <w:tc>
          <w:tcPr>
            <w:tcW w:w="9972" w:type="dxa"/>
            <w:shd w:val="clear" w:color="auto" w:fill="E9F6F1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EE017E2">
            <w:r>
              <w:rPr>
                <w:rFonts w:ascii="Noto Sans CJK SC" w:hAnsi="Noto Sans CJK SC" w:eastAsia="Noto Sans CJK SC"/>
                <w:b/>
                <w:color w:val="2E7D63"/>
                <w:sz w:val="21"/>
              </w:rPr>
              <w:t>课程部署的管理价值</w:t>
            </w:r>
          </w:p>
          <w:p w14:paraId="2B861509">
            <w:r>
              <w:rPr>
                <w:rFonts w:ascii="Noto Sans CJK SC" w:hAnsi="Noto Sans CJK SC" w:eastAsia="Noto Sans CJK SC"/>
                <w:color w:val="333333"/>
                <w:sz w:val="20"/>
              </w:rPr>
              <w:t>课程不是发布后就结束。课程部署模块要解决“谁必须学、什么时候学完、没学完怎么提醒、完成情况如何统计”的问题。</w:t>
            </w:r>
          </w:p>
        </w:tc>
      </w:tr>
    </w:tbl>
    <w:p w14:paraId="4571972E">
      <w:pPr>
        <w:pStyle w:val="3"/>
      </w:pPr>
      <w:r>
        <w:rPr>
          <w:rFonts w:ascii="Noto Sans CJK SC" w:hAnsi="Noto Sans CJK SC" w:eastAsia="Noto Sans CJK SC"/>
          <w:b w:val="0"/>
        </w:rPr>
        <w:t>4.3 正负积分体系</w:t>
      </w:r>
    </w:p>
    <w:p w14:paraId="16612009">
      <w:r>
        <w:rPr>
          <w:rFonts w:ascii="Noto Sans CJK SC" w:hAnsi="Noto Sans CJK SC" w:eastAsia="Noto Sans CJK SC"/>
          <w:b w:val="0"/>
        </w:rPr>
        <w:t>积分体系用于建立培训行为的轻量化激励和约束机制。积分不建议一期做成复杂商城或绩效系统，而应先服务于学习参与、完成情况和管理统计。</w:t>
      </w:r>
    </w:p>
    <w:tbl>
      <w:tblPr>
        <w:tblStyle w:val="35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2494"/>
      </w:tblGrid>
      <w:tr w14:paraId="6B79DDF0">
        <w:trPr>
          <w:jc w:val="center"/>
        </w:trPr>
        <w:tc>
          <w:tcPr>
            <w:tcW w:w="1701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783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积分类型</w:t>
            </w:r>
          </w:p>
        </w:tc>
        <w:tc>
          <w:tcPr>
            <w:tcW w:w="4535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5B1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示例规则</w:t>
            </w:r>
          </w:p>
        </w:tc>
        <w:tc>
          <w:tcPr>
            <w:tcW w:w="2494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D2A7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处理方式</w:t>
            </w:r>
          </w:p>
        </w:tc>
      </w:tr>
      <w:tr w14:paraId="6CA91B74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41C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正向积分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E16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首次登录 +5；首次学习 +5；完成课程 +10；考试通过 +10；按时完成 +5</w:t>
            </w:r>
          </w:p>
        </w:tc>
        <w:tc>
          <w:tcPr>
            <w:tcW w:w="24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B5B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系统自动计算并写入积分流水</w:t>
            </w:r>
          </w:p>
        </w:tc>
      </w:tr>
      <w:tr w14:paraId="0FC1B1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C35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负向积分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84F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课程逾期 -5；考试未通过 -3；超过截止时间仍未完成 -5</w:t>
            </w:r>
          </w:p>
        </w:tc>
        <w:tc>
          <w:tcPr>
            <w:tcW w:w="24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99E7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根据部署截止时间和考试结果自动扣分</w:t>
            </w:r>
          </w:p>
        </w:tc>
      </w:tr>
      <w:tr w14:paraId="578799AC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DD8E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人工调整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C97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管理员补发积分、纠错扣减、活动奖励</w:t>
            </w:r>
          </w:p>
        </w:tc>
        <w:tc>
          <w:tcPr>
            <w:tcW w:w="24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541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保留操作人、原因和时间</w:t>
            </w:r>
          </w:p>
        </w:tc>
      </w:tr>
      <w:tr w14:paraId="3A87BE5E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CEB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积分展示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5C8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个人积分、积分明细、近期积分变化</w:t>
            </w:r>
          </w:p>
        </w:tc>
        <w:tc>
          <w:tcPr>
            <w:tcW w:w="24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4C1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学员端可见个人数据</w:t>
            </w:r>
          </w:p>
        </w:tc>
      </w:tr>
      <w:tr w14:paraId="0D4CFE8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D1B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管理统计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7A7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部门积分、员工积分排行、积分来源统计</w:t>
            </w:r>
          </w:p>
        </w:tc>
        <w:tc>
          <w:tcPr>
            <w:tcW w:w="24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B6E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管理端用于查看和导出</w:t>
            </w:r>
          </w:p>
        </w:tc>
      </w:tr>
    </w:tbl>
    <w:p w14:paraId="44193389">
      <w:pPr>
        <w:spacing w:after="40"/>
      </w:pPr>
    </w:p>
    <w:p w14:paraId="4435061E">
      <w:r>
        <w:rPr>
          <w:rFonts w:ascii="Noto Sans CJK SC" w:hAnsi="Noto Sans CJK SC" w:eastAsia="Noto Sans CJK SC"/>
          <w:b w:val="0"/>
        </w:rPr>
        <w:t>建议一期采用“规则预设 + 后台开关”的方式，先保证规则清晰、流水可查。后续如客户需要，可再建设积分商城、班组 PK、年度学习之星等增强能力。</w:t>
      </w:r>
    </w:p>
    <w:p w14:paraId="2ACC5F9D">
      <w:pPr>
        <w:pStyle w:val="3"/>
      </w:pPr>
      <w:r>
        <w:rPr>
          <w:rFonts w:ascii="Noto Sans CJK SC" w:hAnsi="Noto Sans CJK SC" w:eastAsia="Noto Sans CJK SC"/>
          <w:b w:val="0"/>
        </w:rPr>
        <w:t>4.4 视频上传与播放</w:t>
      </w:r>
    </w:p>
    <w:p w14:paraId="06AB9FBF">
      <w:r>
        <w:rPr>
          <w:rFonts w:ascii="Noto Sans CJK SC" w:hAnsi="Noto Sans CJK SC" w:eastAsia="Noto Sans CJK SC"/>
          <w:b w:val="0"/>
        </w:rPr>
        <w:t>视频课程是企业安全培训和操作规程培训中的高频需求。对于本期项目，建议优先建设稳定可用的视频上传、播放和进度记录能力，不建议一开始就引入过重的视频平台能力。</w:t>
      </w:r>
    </w:p>
    <w:tbl>
      <w:tblPr>
        <w:tblStyle w:val="35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365"/>
        <w:gridCol w:w="2608"/>
      </w:tblGrid>
      <w:tr w14:paraId="01F3466C">
        <w:trPr>
          <w:jc w:val="center"/>
        </w:trPr>
        <w:tc>
          <w:tcPr>
            <w:tcW w:w="1757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44B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w="4365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6FE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  <w:tc>
          <w:tcPr>
            <w:tcW w:w="2608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5B9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一期建议</w:t>
            </w:r>
          </w:p>
        </w:tc>
      </w:tr>
      <w:tr w14:paraId="794E629E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2484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视频上传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5E8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管理员在课程章节中上传视频文件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B7F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优先支持 MP4 / H.264 格式，单视频大小按服务器和存储方案配置</w:t>
            </w:r>
          </w:p>
        </w:tc>
      </w:tr>
      <w:tr w14:paraId="4FEB2BE7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B218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视频存储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648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视频文件存储在服务器或对象存储中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538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建议采用对象存储，便于后续扩容</w:t>
            </w:r>
          </w:p>
        </w:tc>
      </w:tr>
      <w:tr w14:paraId="42798E34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785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在线播放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1C2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学员端在线播放课程视频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166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 PC 和移动端浏览器播放</w:t>
            </w:r>
          </w:p>
        </w:tc>
      </w:tr>
      <w:tr w14:paraId="78C491D2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EEE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断点续播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2B4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记录上次观看位置，下次继续播放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F9C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作为一期推荐能力</w:t>
            </w:r>
          </w:p>
        </w:tc>
      </w:tr>
      <w:tr w14:paraId="2849907D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887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观看进度记录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999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记录观看比例、观看时长、是否达到完成标准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41B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用于课程完成判断</w:t>
            </w:r>
          </w:p>
        </w:tc>
      </w:tr>
      <w:tr w14:paraId="07C6142A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A3B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播放控制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1DF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可配置是否允许拖拽、是否允许倍速、是否必须观看到指定比例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1E24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一期支持基础限制，复杂策略后续扩展</w:t>
            </w:r>
          </w:p>
        </w:tc>
      </w:tr>
      <w:tr w14:paraId="4B30EC8A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75A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视频完成规则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7D2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例如观看达到 80% 或 100% 才算完成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FBD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与课程完成设置联动</w:t>
            </w:r>
          </w:p>
        </w:tc>
      </w:tr>
    </w:tbl>
    <w:p w14:paraId="3690EA4C">
      <w:pPr>
        <w:spacing w:after="40"/>
      </w:pPr>
    </w:p>
    <w:p w14:paraId="5FA7F4E3">
      <w:r>
        <w:rPr>
          <w:rFonts w:ascii="Noto Sans CJK SC" w:hAnsi="Noto Sans CJK SC" w:eastAsia="Noto Sans CJK SC"/>
          <w:b w:val="0"/>
        </w:rPr>
        <w:t>若客户对视频质量、清晰度切换、转码、CDN 分发或大规模并发播放有较高要求，建议另行评估视频云服务或私有化视频处理方案。该部分会影响建设成本和运维成本。</w:t>
      </w:r>
    </w:p>
    <w:p w14:paraId="15F38242">
      <w:pPr>
        <w:pStyle w:val="3"/>
      </w:pPr>
      <w:r>
        <w:rPr>
          <w:rFonts w:ascii="Noto Sans CJK SC" w:hAnsi="Noto Sans CJK SC" w:eastAsia="Noto Sans CJK SC"/>
          <w:b w:val="0"/>
        </w:rPr>
        <w:t>4.5 培训矩阵</w:t>
      </w:r>
    </w:p>
    <w:p w14:paraId="229F0010">
      <w:r>
        <w:rPr>
          <w:rFonts w:ascii="Noto Sans CJK SC" w:hAnsi="Noto Sans CJK SC" w:eastAsia="Noto Sans CJK SC"/>
          <w:b w:val="0"/>
        </w:rPr>
        <w:t>培训矩阵用于把分散的学习记录转化为管理视图。它应重点回答：哪些员工完成了培训，哪些岗位仍存在未完成课程，哪些部门完成率偏低，哪些课程存在逾期或未通过情况。</w:t>
      </w:r>
    </w:p>
    <w:tbl>
      <w:tblPr>
        <w:tblStyle w:val="35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252"/>
        <w:gridCol w:w="2778"/>
      </w:tblGrid>
      <w:tr w14:paraId="4B5E97A0">
        <w:trPr>
          <w:jc w:val="center"/>
        </w:trPr>
        <w:tc>
          <w:tcPr>
            <w:tcW w:w="1701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2452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矩阵维度</w:t>
            </w:r>
          </w:p>
        </w:tc>
        <w:tc>
          <w:tcPr>
            <w:tcW w:w="4252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6B6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展示内容</w:t>
            </w:r>
          </w:p>
        </w:tc>
        <w:tc>
          <w:tcPr>
            <w:tcW w:w="2778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274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管理用途</w:t>
            </w:r>
          </w:p>
        </w:tc>
      </w:tr>
      <w:tr w14:paraId="6E845A8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F04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员工维度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849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姓名、工号、部门、岗位、职能、已分配课程、已完成课程、未完成课程、完成率</w:t>
            </w:r>
          </w:p>
        </w:tc>
        <w:tc>
          <w:tcPr>
            <w:tcW w:w="2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2D8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查看个人培训进度和缺口</w:t>
            </w:r>
          </w:p>
        </w:tc>
      </w:tr>
      <w:tr w14:paraId="431DC5A6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2D9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部门维度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694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部门人数、应训人数、完成人数、完成率、逾期人数</w:t>
            </w:r>
          </w:p>
        </w:tc>
        <w:tc>
          <w:tcPr>
            <w:tcW w:w="2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352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部门负责人查看整体执行情况</w:t>
            </w:r>
          </w:p>
        </w:tc>
      </w:tr>
      <w:tr w14:paraId="5F136ACA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B68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岗位维度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6D9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岗位名称、应训课程、完成人数、未完成人数、课程覆盖情况</w:t>
            </w:r>
          </w:p>
        </w:tc>
        <w:tc>
          <w:tcPr>
            <w:tcW w:w="2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7B2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评估岗位培训覆盖</w:t>
            </w:r>
          </w:p>
        </w:tc>
      </w:tr>
      <w:tr w14:paraId="1926BF69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F0C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课程维度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A76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课程名称、部署批次、完成率、考试通过率、逾期人数</w:t>
            </w:r>
          </w:p>
        </w:tc>
        <w:tc>
          <w:tcPr>
            <w:tcW w:w="2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E31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评估课程执行效果</w:t>
            </w:r>
          </w:p>
        </w:tc>
      </w:tr>
      <w:tr w14:paraId="7980728C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A522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状态维度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4A1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未开始、学习中、已完成、考试未通过、逾期未完成</w:t>
            </w:r>
          </w:p>
        </w:tc>
        <w:tc>
          <w:tcPr>
            <w:tcW w:w="2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B65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快速定位待处理对象</w:t>
            </w:r>
          </w:p>
        </w:tc>
      </w:tr>
    </w:tbl>
    <w:p w14:paraId="2E00A091">
      <w:pPr>
        <w:spacing w:after="40"/>
      </w:pPr>
    </w:p>
    <w:p w14:paraId="7D0F2D3D">
      <w:r>
        <w:rPr>
          <w:rFonts w:ascii="Noto Sans CJK SC" w:hAnsi="Noto Sans CJK SC" w:eastAsia="Noto Sans CJK SC"/>
          <w:b w:val="0"/>
        </w:rPr>
        <w:t>一期建议先提供员工培训矩阵和课程完成矩阵，支持按部门、岗位、职能、课程状态筛选，并支持 Excel 导出。后续可继续扩展证书状态、岗位应训课程、迎检台账等能力。</w:t>
      </w:r>
    </w:p>
    <w:p w14:paraId="316A5DC6">
      <w:r>
        <w:br w:type="page"/>
      </w:r>
    </w:p>
    <w:p w14:paraId="4910D17A">
      <w:pPr>
        <w:pStyle w:val="3"/>
      </w:pPr>
      <w:r>
        <w:rPr>
          <w:rFonts w:ascii="Noto Sans CJK SC" w:hAnsi="Noto Sans CJK SC" w:eastAsia="Noto Sans CJK SC"/>
          <w:b w:val="0"/>
        </w:rPr>
        <w:t>4.6 学习过程防挂机机制</w:t>
      </w:r>
    </w:p>
    <w:p w14:paraId="7FF8CBBC">
      <w:r>
        <w:rPr>
          <w:rFonts w:ascii="Noto Sans CJK SC" w:hAnsi="Noto Sans CJK SC" w:eastAsia="Noto Sans CJK SC"/>
          <w:b w:val="0"/>
        </w:rPr>
        <w:t>防挂机机制的目标不是做强监管，而是提升学习真实性，减少“打开课程后离开”“视频拖到结尾”“长时间不操作仍计入学习”的情况。考虑一期成本和隐私合规，本期建议采用轻量化机制。</w:t>
      </w:r>
    </w:p>
    <w:tbl>
      <w:tblPr>
        <w:tblStyle w:val="35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422"/>
        <w:gridCol w:w="2551"/>
      </w:tblGrid>
      <w:tr w14:paraId="1083DF37">
        <w:trPr>
          <w:jc w:val="center"/>
        </w:trPr>
        <w:tc>
          <w:tcPr>
            <w:tcW w:w="1757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82EC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机制</w:t>
            </w:r>
          </w:p>
        </w:tc>
        <w:tc>
          <w:tcPr>
            <w:tcW w:w="4422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9E45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  <w:tc>
          <w:tcPr>
            <w:tcW w:w="2551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57C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处理方式</w:t>
            </w:r>
          </w:p>
        </w:tc>
      </w:tr>
      <w:tr w14:paraId="4DF5234C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DF4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长时间无操作提醒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C1C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学习页面在一定时间内无鼠标、键盘或触控操作时弹出确认提示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6DF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学员确认后继续学习；未确认则暂停有效学习计时</w:t>
            </w:r>
          </w:p>
        </w:tc>
      </w:tr>
      <w:tr w14:paraId="0BB328C4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85C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页面切出提示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F8E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学习过程中离开当前页面、切换标签页或浏览器最小化时进行提示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072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记录次数并在必要时提醒学员返回学习</w:t>
            </w:r>
          </w:p>
        </w:tc>
      </w:tr>
      <w:tr w14:paraId="7A6E8695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159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视频拖拽限制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807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限制学员直接拖到未观看位置，或拖拽后不计入已观看进度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2DF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确保观看进度更接近真实学习过程</w:t>
            </w:r>
          </w:p>
        </w:tc>
      </w:tr>
      <w:tr w14:paraId="1E045BA1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2FC8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播放状态控制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6E6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视频暂停、页面离开或无操作时，不继续累计有效观看时间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BCD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与视频完成规则联动</w:t>
            </w:r>
          </w:p>
        </w:tc>
      </w:tr>
      <w:tr w14:paraId="1B752117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447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弹窗确认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2D0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学习过程中随机或定时出现继续学习确认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168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未确认时暂停课程进度累计</w:t>
            </w:r>
          </w:p>
        </w:tc>
      </w:tr>
      <w:tr w14:paraId="42373689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25D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管理端复核记录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FFC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管理员可查看学习时长、切出次数、确认情况等过程信息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2D1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用于判断是否需要补学或人工复核</w:t>
            </w:r>
          </w:p>
        </w:tc>
      </w:tr>
    </w:tbl>
    <w:p w14:paraId="1EBD6B5A">
      <w:pPr>
        <w:spacing w:after="40"/>
      </w:pPr>
    </w:p>
    <w:p w14:paraId="152B9B44">
      <w:r>
        <w:rPr>
          <w:rFonts w:ascii="Noto Sans CJK SC" w:hAnsi="Noto Sans CJK SC" w:eastAsia="Noto Sans CJK SC"/>
          <w:b w:val="0"/>
        </w:rPr>
        <w:t>一期暂不建议默认建设人脸识别、摄像头监考、活体检测等能力。此类能力涉及员工隐私、摄像头权限、设备兼容性和误判责任，适合在客户明确提出强监管要求后作为专项功能评估。</w:t>
      </w:r>
    </w:p>
    <w:p w14:paraId="59151D6F">
      <w:pPr>
        <w:pStyle w:val="3"/>
      </w:pPr>
      <w:r>
        <w:rPr>
          <w:rFonts w:ascii="Noto Sans CJK SC" w:hAnsi="Noto Sans CJK SC" w:eastAsia="Noto Sans CJK SC"/>
          <w:b w:val="0"/>
        </w:rPr>
        <w:t>4.7 数据统计与台账输出</w:t>
      </w:r>
    </w:p>
    <w:p w14:paraId="37C878D4">
      <w:r>
        <w:rPr>
          <w:rFonts w:ascii="Noto Sans CJK SC" w:hAnsi="Noto Sans CJK SC" w:eastAsia="Noto Sans CJK SC"/>
          <w:b w:val="0"/>
        </w:rPr>
        <w:t>数据统计与导出是培训平台能否真正服务管理的关键。本期建议将课程完成、考试结果、积分流水、视频观看和部署完成情况纳入统一统计口径。</w:t>
      </w:r>
    </w:p>
    <w:tbl>
      <w:tblPr>
        <w:tblStyle w:val="35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592"/>
        <w:gridCol w:w="2324"/>
      </w:tblGrid>
      <w:tr w14:paraId="676415A6">
        <w:trPr>
          <w:jc w:val="center"/>
        </w:trPr>
        <w:tc>
          <w:tcPr>
            <w:tcW w:w="1814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A916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输出类型</w:t>
            </w:r>
          </w:p>
        </w:tc>
        <w:tc>
          <w:tcPr>
            <w:tcW w:w="4592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2AC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主要字段</w:t>
            </w:r>
          </w:p>
        </w:tc>
        <w:tc>
          <w:tcPr>
            <w:tcW w:w="2324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33E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 w14:paraId="1334B068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4BD6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培训完成报表</w:t>
            </w:r>
          </w:p>
        </w:tc>
        <w:tc>
          <w:tcPr>
            <w:tcW w:w="4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169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员工、部门、岗位、课程、完成状态、完成时间、完成率</w:t>
            </w:r>
          </w:p>
        </w:tc>
        <w:tc>
          <w:tcPr>
            <w:tcW w:w="2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8136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日常培训管理</w:t>
            </w:r>
          </w:p>
        </w:tc>
      </w:tr>
      <w:tr w14:paraId="3BF3670F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1DF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考试结果报表</w:t>
            </w:r>
          </w:p>
        </w:tc>
        <w:tc>
          <w:tcPr>
            <w:tcW w:w="4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207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考试名称、分数、是否通过、考试次数、提交时间</w:t>
            </w:r>
          </w:p>
        </w:tc>
        <w:tc>
          <w:tcPr>
            <w:tcW w:w="2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D1A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学习效果验证</w:t>
            </w:r>
          </w:p>
        </w:tc>
      </w:tr>
      <w:tr w14:paraId="5D51D583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968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积分明细报表</w:t>
            </w:r>
          </w:p>
        </w:tc>
        <w:tc>
          <w:tcPr>
            <w:tcW w:w="4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FDA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员工、积分变化、来源、课程、时间、操作人</w:t>
            </w:r>
          </w:p>
        </w:tc>
        <w:tc>
          <w:tcPr>
            <w:tcW w:w="2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B8D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积分追溯和管理复核</w:t>
            </w:r>
          </w:p>
        </w:tc>
      </w:tr>
      <w:tr w14:paraId="7553E0E1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2DB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视频学习记录</w:t>
            </w:r>
          </w:p>
        </w:tc>
        <w:tc>
          <w:tcPr>
            <w:tcW w:w="4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31D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视频名称、观看比例、观看时长、是否达标</w:t>
            </w:r>
          </w:p>
        </w:tc>
        <w:tc>
          <w:tcPr>
            <w:tcW w:w="2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A11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视频课程完成判断</w:t>
            </w:r>
          </w:p>
        </w:tc>
      </w:tr>
      <w:tr w14:paraId="5FFC2140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89E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部署任务报表</w:t>
            </w:r>
          </w:p>
        </w:tc>
        <w:tc>
          <w:tcPr>
            <w:tcW w:w="4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937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课程版本、部署对象、开始时间、截止时间、完成情况</w:t>
            </w:r>
          </w:p>
        </w:tc>
        <w:tc>
          <w:tcPr>
            <w:tcW w:w="2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736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培训任务复盘</w:t>
            </w:r>
          </w:p>
        </w:tc>
      </w:tr>
      <w:tr w14:paraId="41A56655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2A1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台账基础导出</w:t>
            </w:r>
          </w:p>
        </w:tc>
        <w:tc>
          <w:tcPr>
            <w:tcW w:w="4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051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按人员、课程、部门或时间段导出培训记录</w:t>
            </w:r>
          </w:p>
        </w:tc>
        <w:tc>
          <w:tcPr>
            <w:tcW w:w="2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155D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后续迎检台账适配基础</w:t>
            </w:r>
          </w:p>
        </w:tc>
      </w:tr>
    </w:tbl>
    <w:p w14:paraId="5528D9C4">
      <w:pPr>
        <w:spacing w:after="40"/>
      </w:pPr>
    </w:p>
    <w:p w14:paraId="28D828F7">
      <w:pPr>
        <w:pStyle w:val="2"/>
      </w:pPr>
      <w:r>
        <w:rPr>
          <w:rFonts w:ascii="Noto Sans CJK SC" w:hAnsi="Noto Sans CJK SC" w:eastAsia="Noto Sans CJK SC"/>
          <w:b/>
          <w:color w:val="2E7D63"/>
          <w:sz w:val="34"/>
        </w:rPr>
        <w:t>5  技术实现方案</w:t>
      </w:r>
    </w:p>
    <w:p w14:paraId="4B3BB2E3">
      <w:r>
        <w:rPr>
          <w:rFonts w:ascii="Noto Sans CJK SC" w:hAnsi="Noto Sans CJK SC" w:eastAsia="Noto Sans CJK SC"/>
          <w:b w:val="0"/>
        </w:rPr>
        <w:t>本项目建议采用前后端分离方式建设，围绕课程、部署、学习记录、积分、视频资源和报表统计建立清晰的数据模型。技术实现应优先保证可维护、可扩展和可审计。</w:t>
      </w:r>
    </w:p>
    <w:p w14:paraId="12423DBD">
      <w:pPr>
        <w:pStyle w:val="3"/>
      </w:pPr>
      <w:r>
        <w:rPr>
          <w:rFonts w:ascii="Noto Sans CJK SC" w:hAnsi="Noto Sans CJK SC" w:eastAsia="Noto Sans CJK SC"/>
          <w:b w:val="0"/>
        </w:rPr>
        <w:t>5.1 前端实现</w:t>
      </w:r>
    </w:p>
    <w:p w14:paraId="672B84BF">
      <w:pPr>
        <w:ind w:left="340" w:hanging="159"/>
      </w:pPr>
      <w:r>
        <w:rPr>
          <w:rFonts w:ascii="Noto Sans CJK SC" w:hAnsi="Noto Sans CJK SC" w:eastAsia="Noto Sans CJK SC"/>
          <w:sz w:val="21"/>
        </w:rPr>
        <w:t>• 管理端：用于课程内容编辑、课程审核、课程部署、积分管理、培训矩阵和报表导出。</w:t>
      </w:r>
    </w:p>
    <w:p w14:paraId="1DD29BDC">
      <w:pPr>
        <w:ind w:left="340" w:hanging="159"/>
      </w:pPr>
      <w:r>
        <w:rPr>
          <w:rFonts w:ascii="Noto Sans CJK SC" w:hAnsi="Noto Sans CJK SC" w:eastAsia="Noto Sans CJK SC"/>
          <w:sz w:val="21"/>
        </w:rPr>
        <w:t>• 学员端：用于课程学习、视频播放、章节测验、考试、积分查看和学习任务查看。</w:t>
      </w:r>
    </w:p>
    <w:p w14:paraId="57E064E2">
      <w:pPr>
        <w:ind w:left="340" w:hanging="159"/>
      </w:pPr>
      <w:r>
        <w:rPr>
          <w:rFonts w:ascii="Noto Sans CJK SC" w:hAnsi="Noto Sans CJK SC" w:eastAsia="Noto Sans CJK SC"/>
          <w:sz w:val="21"/>
        </w:rPr>
        <w:t>• 响应式适配：优先支持 PC 端和移动端浏览器，具体适配范围按客户使用场景确认。</w:t>
      </w:r>
    </w:p>
    <w:p w14:paraId="12D4ACB6">
      <w:pPr>
        <w:pStyle w:val="3"/>
      </w:pPr>
      <w:r>
        <w:rPr>
          <w:rFonts w:ascii="Noto Sans CJK SC" w:hAnsi="Noto Sans CJK SC" w:eastAsia="Noto Sans CJK SC"/>
          <w:b w:val="0"/>
        </w:rPr>
        <w:t>5.2 后端实现</w:t>
      </w:r>
    </w:p>
    <w:p w14:paraId="06BB81F9">
      <w:pPr>
        <w:ind w:left="340" w:hanging="159"/>
      </w:pPr>
      <w:r>
        <w:rPr>
          <w:rFonts w:ascii="Noto Sans CJK SC" w:hAnsi="Noto Sans CJK SC" w:eastAsia="Noto Sans CJK SC"/>
          <w:sz w:val="21"/>
        </w:rPr>
        <w:t>• 课程服务：管理课程、章节、页面、附件、视频、完成设置和审核状态。</w:t>
      </w:r>
    </w:p>
    <w:p w14:paraId="4A37FE24">
      <w:pPr>
        <w:ind w:left="340" w:hanging="159"/>
      </w:pPr>
      <w:r>
        <w:rPr>
          <w:rFonts w:ascii="Noto Sans CJK SC" w:hAnsi="Noto Sans CJK SC" w:eastAsia="Noto Sans CJK SC"/>
          <w:sz w:val="21"/>
        </w:rPr>
        <w:t>• 部署服务：管理课程任务、分配对象、时间规则、完成统计和部署历史。</w:t>
      </w:r>
    </w:p>
    <w:p w14:paraId="0C957516">
      <w:pPr>
        <w:ind w:left="340" w:hanging="159"/>
      </w:pPr>
      <w:r>
        <w:rPr>
          <w:rFonts w:ascii="Noto Sans CJK SC" w:hAnsi="Noto Sans CJK SC" w:eastAsia="Noto Sans CJK SC"/>
          <w:sz w:val="21"/>
        </w:rPr>
        <w:t>• 学习记录服务：记录课程进度、视频观看、测验考试、完成状态和过程信息。</w:t>
      </w:r>
    </w:p>
    <w:p w14:paraId="53294C90">
      <w:pPr>
        <w:ind w:left="340" w:hanging="159"/>
      </w:pPr>
      <w:r>
        <w:rPr>
          <w:rFonts w:ascii="Noto Sans CJK SC" w:hAnsi="Noto Sans CJK SC" w:eastAsia="Noto Sans CJK SC"/>
          <w:sz w:val="21"/>
        </w:rPr>
        <w:t>• 积分服务：根据学习行为和部署结果生成积分流水，支持查询和人工调整。</w:t>
      </w:r>
    </w:p>
    <w:p w14:paraId="3C32B760">
      <w:pPr>
        <w:ind w:left="340" w:hanging="159"/>
      </w:pPr>
      <w:r>
        <w:rPr>
          <w:rFonts w:ascii="Noto Sans CJK SC" w:hAnsi="Noto Sans CJK SC" w:eastAsia="Noto Sans CJK SC"/>
          <w:sz w:val="21"/>
        </w:rPr>
        <w:t>• 报表服务：按员工、部门、岗位、课程、时间维度聚合统计并导出。</w:t>
      </w:r>
    </w:p>
    <w:p w14:paraId="14B83A54">
      <w:pPr>
        <w:pStyle w:val="3"/>
      </w:pPr>
      <w:r>
        <w:rPr>
          <w:rFonts w:ascii="Noto Sans CJK SC" w:hAnsi="Noto Sans CJK SC" w:eastAsia="Noto Sans CJK SC"/>
          <w:b w:val="0"/>
        </w:rPr>
        <w:t>5.3 视频与文件存储</w:t>
      </w:r>
    </w:p>
    <w:p w14:paraId="42163863">
      <w:pPr>
        <w:ind w:left="340" w:hanging="159"/>
      </w:pPr>
      <w:r>
        <w:rPr>
          <w:rFonts w:ascii="Noto Sans CJK SC" w:hAnsi="Noto Sans CJK SC" w:eastAsia="Noto Sans CJK SC"/>
          <w:sz w:val="21"/>
        </w:rPr>
        <w:t>• 文档、图片和视频文件建议统一接入文件资源服务，便于权限控制和后续扩容。</w:t>
      </w:r>
    </w:p>
    <w:p w14:paraId="52040628">
      <w:pPr>
        <w:ind w:left="340" w:hanging="159"/>
      </w:pPr>
      <w:r>
        <w:rPr>
          <w:rFonts w:ascii="Noto Sans CJK SC" w:hAnsi="Noto Sans CJK SC" w:eastAsia="Noto Sans CJK SC"/>
          <w:sz w:val="21"/>
        </w:rPr>
        <w:t>• 视频建议优先采用对象存储方案，避免占用业务服务器磁盘。</w:t>
      </w:r>
    </w:p>
    <w:p w14:paraId="037D3729">
      <w:pPr>
        <w:ind w:left="340" w:hanging="159"/>
      </w:pPr>
      <w:r>
        <w:rPr>
          <w:rFonts w:ascii="Noto Sans CJK SC" w:hAnsi="Noto Sans CJK SC" w:eastAsia="Noto Sans CJK SC"/>
          <w:sz w:val="21"/>
        </w:rPr>
        <w:t>• 基础版可先支持 MP4 原文件播放；增强版可根据需要接入转码、HLS 和 CDN。</w:t>
      </w:r>
    </w:p>
    <w:p w14:paraId="16977898">
      <w:pPr>
        <w:pStyle w:val="3"/>
      </w:pPr>
      <w:r>
        <w:rPr>
          <w:rFonts w:ascii="Noto Sans CJK SC" w:hAnsi="Noto Sans CJK SC" w:eastAsia="Noto Sans CJK SC"/>
          <w:b w:val="0"/>
        </w:rPr>
        <w:t>5.4 权限与安全</w:t>
      </w:r>
    </w:p>
    <w:p w14:paraId="0DFC8D46">
      <w:pPr>
        <w:ind w:left="340" w:hanging="159"/>
      </w:pPr>
      <w:r>
        <w:rPr>
          <w:rFonts w:ascii="Noto Sans CJK SC" w:hAnsi="Noto Sans CJK SC" w:eastAsia="Noto Sans CJK SC"/>
          <w:sz w:val="21"/>
        </w:rPr>
        <w:t>• 管理员、培训负责人、审核人、学员等角色应具备不同操作权限。</w:t>
      </w:r>
    </w:p>
    <w:p w14:paraId="6BF15573">
      <w:pPr>
        <w:ind w:left="340" w:hanging="159"/>
      </w:pPr>
      <w:r>
        <w:rPr>
          <w:rFonts w:ascii="Noto Sans CJK SC" w:hAnsi="Noto Sans CJK SC" w:eastAsia="Noto Sans CJK SC"/>
          <w:sz w:val="21"/>
        </w:rPr>
        <w:t>• 课程审核、发布、积分人工调整、部署撤销等关键操作应记录操作日志。</w:t>
      </w:r>
    </w:p>
    <w:p w14:paraId="6147E788">
      <w:pPr>
        <w:ind w:left="340" w:hanging="159"/>
      </w:pPr>
      <w:r>
        <w:rPr>
          <w:rFonts w:ascii="Noto Sans CJK SC" w:hAnsi="Noto Sans CJK SC" w:eastAsia="Noto Sans CJK SC"/>
          <w:sz w:val="21"/>
        </w:rPr>
        <w:t>• 员工学习记录、考试记录和积分记录应避免被随意修改，必要修改需保留原因和操作人。</w:t>
      </w:r>
    </w:p>
    <w:p w14:paraId="24A4ABCD">
      <w:pPr>
        <w:pStyle w:val="2"/>
      </w:pPr>
      <w:r>
        <w:rPr>
          <w:rFonts w:ascii="Noto Sans CJK SC" w:hAnsi="Noto Sans CJK SC" w:eastAsia="Noto Sans CJK SC"/>
          <w:b/>
          <w:color w:val="2E7D63"/>
          <w:sz w:val="34"/>
        </w:rPr>
        <w:t>6  实施计划与项目管理</w:t>
      </w:r>
    </w:p>
    <w:p w14:paraId="737A2DF8">
      <w:r>
        <w:rPr>
          <w:rFonts w:ascii="Noto Sans CJK SC" w:hAnsi="Noto Sans CJK SC" w:eastAsia="Noto Sans CJK SC"/>
          <w:b w:val="0"/>
        </w:rPr>
        <w:t>按标准版建设范围估算，本项目建议实施周期为 8 周左右。若客户选择增强版或涉及复杂组织数据对接、视频云服务、历史数据迁移，周期需相应延长。</w:t>
      </w:r>
    </w:p>
    <w:tbl>
      <w:tblPr>
        <w:tblStyle w:val="35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4365"/>
        <w:gridCol w:w="1984"/>
      </w:tblGrid>
      <w:tr w14:paraId="1BA8B66E">
        <w:trPr>
          <w:jc w:val="center"/>
        </w:trPr>
        <w:tc>
          <w:tcPr>
            <w:tcW w:w="1417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CFBD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w="1417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017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周期</w:t>
            </w:r>
          </w:p>
        </w:tc>
        <w:tc>
          <w:tcPr>
            <w:tcW w:w="4365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239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主要工作</w:t>
            </w:r>
          </w:p>
        </w:tc>
        <w:tc>
          <w:tcPr>
            <w:tcW w:w="1984" w:type="dxa"/>
            <w:shd w:val="clear" w:color="auto" w:fill="2E7D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017E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输出物</w:t>
            </w:r>
          </w:p>
        </w:tc>
      </w:tr>
      <w:tr w14:paraId="73A2C3E4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BA9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需求确认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FFE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1 周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9A11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确认业务流程、功能范围、角色权限、报价版本和验收口径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BD7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需求确认清单、项目计划</w:t>
            </w:r>
          </w:p>
        </w:tc>
      </w:tr>
      <w:tr w14:paraId="37862978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D99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原型与方案设计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343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2 周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853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完成主要页面原型、数据流和接口范围设计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8F8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页面原型、功能说明、接口清单</w:t>
            </w:r>
          </w:p>
        </w:tc>
      </w:tr>
      <w:tr w14:paraId="64174D70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5E6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核心功能开发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125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3–6 周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D8D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开发培训内容管理、课程部署、积分体系、视频播放、培训矩阵、防挂机机制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284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可联调功能版本</w:t>
            </w:r>
          </w:p>
        </w:tc>
      </w:tr>
      <w:tr w14:paraId="1B70711B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037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联调测试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CDE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7 周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FF6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前后端联调、功能测试、数据测试、权限测试、导出测试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D0B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测试记录、问题修复清单</w:t>
            </w:r>
          </w:p>
        </w:tc>
      </w:tr>
      <w:tr w14:paraId="6D02ACD9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EB3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试运行与验收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080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8 周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2243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客户试用、问题修复、验收确认、交付文档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0D2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验收版本、操作说明、交付清单</w:t>
            </w:r>
          </w:p>
        </w:tc>
      </w:tr>
    </w:tbl>
    <w:p w14:paraId="19BF9C88">
      <w:pPr>
        <w:spacing w:after="40"/>
      </w:pPr>
    </w:p>
    <w:p w14:paraId="1956FC0A">
      <w:r>
        <w:rPr>
          <w:rFonts w:ascii="Noto Sans CJK SC" w:hAnsi="Noto Sans CJK SC" w:eastAsia="Noto Sans CJK SC"/>
          <w:b w:val="0"/>
        </w:rPr>
        <w:t>项目实施过程中建议采用周度沟通机制，每周同步开发进度、待确认问题和风险事项。客户需指定业务负责人参与需求确认、原型评审、测试验收和培训试运行。</w:t>
      </w:r>
    </w:p>
    <w:p w14:paraId="706B391F"/>
    <w:sectPr>
      <w:footerReference r:id="rId5" w:type="default"/>
      <w:pgSz w:w="12240" w:h="15840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AC1F9">
    <w:pPr>
      <w:pStyle w:val="18"/>
      <w:jc w:val="center"/>
    </w:pPr>
    <w:r>
      <w:rPr>
        <w:rFonts w:ascii="Noto Sans CJK SC" w:hAnsi="Noto Sans CJK SC" w:eastAsia="Noto Sans CJK SC"/>
        <w:sz w:val="16"/>
      </w:rPr>
      <w:t xml:space="preserve">企业培训平台功能增强建设建议书  |  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35E3A3"/>
    <w:rsid w:val="6B6DDFE5"/>
    <w:rsid w:val="7DCC167B"/>
    <w:rsid w:val="7FEEAA98"/>
    <w:rsid w:val="EEBBC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Noto Sans CJK SC" w:hAnsi="Noto Sans CJK SC" w:eastAsia="Noto Sans CJK SC" w:cstheme="minorBidi"/>
      <w:color w:val="222222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2E7D63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2933"/>
      <w:sz w:val="27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2933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2E7D63"/>
      <w:spacing w:val="5"/>
      <w:kern w:val="28"/>
      <w:sz w:val="4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Proposal Subtitle"/>
    <w:uiPriority w:val="0"/>
    <w:pPr>
      <w:spacing w:after="200" w:line="276" w:lineRule="auto"/>
    </w:pPr>
    <w:rPr>
      <w:rFonts w:ascii="Noto Sans CJK SC" w:hAnsi="Noto Sans CJK SC" w:eastAsia="Noto Sans CJK SC" w:cstheme="minorBidi"/>
      <w:color w:val="4A5568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lukkawoo</dc:creator>
  <dc:description>generated by python-docx</dc:description>
  <cp:keywords>培训平台, 积分体系, 视频学习, 培训矩阵, 防挂机</cp:keywords>
  <cp:lastModifiedBy>lukkawoo</cp:lastModifiedBy>
  <dcterms:modified xsi:type="dcterms:W3CDTF">2026-06-09T17:36:08Z</dcterms:modified>
  <dc:subject>培训平台建议书</dc:subject>
  <dc:title>企业培训平台功能增强建设建议书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F780A78FC34F273424DB276ACAE7DDEC_42</vt:lpwstr>
  </property>
</Properties>
</file>