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以Magna为案例了解碳排放核算业务</w:t>
      </w:r>
    </w:p>
    <w:p>
      <w:pPr>
        <w:spacing w:before="120" w:after="120" w:line="288" w:lineRule="auto"/>
        <w:ind w:left="0"/>
        <w:jc w:val="left"/>
      </w:pPr>
      <w:r>
        <w:rPr>
          <w:rFonts w:eastAsia="等线" w:ascii="Arial" w:cs="Arial" w:hAnsi="Arial"/>
          <w:sz w:val="22"/>
        </w:rPr>
        <w:t xml:space="preserve">下面我用 </w:t>
      </w:r>
      <w:r>
        <w:rPr>
          <w:rFonts w:eastAsia="等线" w:ascii="Arial" w:cs="Arial" w:hAnsi="Arial"/>
          <w:b w:val="true"/>
          <w:sz w:val="22"/>
        </w:rPr>
        <w:t>Magna 这类整车/汽车零部件制造企业</w:t>
      </w:r>
      <w:r>
        <w:rPr>
          <w:rFonts w:eastAsia="等线" w:ascii="Arial" w:cs="Arial" w:hAnsi="Arial"/>
          <w:sz w:val="22"/>
        </w:rPr>
        <w:t xml:space="preserve"> 来举例。Magna 本身是全球大型汽车供应商，也具备完整车辆制造、车身制造、喷涂等能力，所以它很适合拿来讲汽车制造场景的碳核算。(</w:t>
      </w:r>
      <w:hyperlink r:id="rId4">
        <w:r>
          <w:rPr>
            <w:rFonts w:eastAsia="等线" w:ascii="Arial" w:cs="Arial" w:hAnsi="Arial"/>
            <w:color w:val="3370ff"/>
            <w:sz w:val="22"/>
          </w:rPr>
          <w:t>Magna</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先说明一个容易混淆的点：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Scope 1 / Scope 2 / Scope 3 是组织层面的核算框架；“一辆车”的碳排放更接近产品碳足迹。</w:t>
            </w:r>
          </w:p>
        </w:tc>
      </w:tr>
    </w:tbl>
    <w:p>
      <w:pPr>
        <w:spacing w:before="120" w:after="120" w:line="288" w:lineRule="auto"/>
        <w:ind w:left="0"/>
        <w:jc w:val="left"/>
      </w:pPr>
      <w:r>
        <w:rPr>
          <w:rFonts w:eastAsia="等线" w:ascii="Arial" w:cs="Arial" w:hAnsi="Arial"/>
          <w:sz w:val="22"/>
        </w:rPr>
        <w:t>所以真实业务里通常是：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先算某个工厂、某个法人、某个生产基地、某个年度的 Scope 1/2/3，（对应王洁做的碳排放总览）</w:t>
              <w:br/>
            </w:r>
            <w:r>
              <w:rPr>
                <w:rFonts w:eastAsia="等线" w:ascii="Arial" w:cs="Arial" w:hAnsi="Arial"/>
                <w:color w:val="646a73"/>
                <w:sz w:val="22"/>
              </w:rPr>
              <w:t>再把其中和某车型相关的排放，按照产量、工时、能耗、BOM、物流等规则分摊到“单车”。（产品碳足迹）</w:t>
            </w:r>
          </w:p>
        </w:tc>
      </w:tr>
    </w:tbl>
    <w:p>
      <w:pPr>
        <w:spacing w:before="120" w:after="120" w:line="288" w:lineRule="auto"/>
        <w:ind w:left="0"/>
        <w:jc w:val="left"/>
      </w:pPr>
      <w:r>
        <w:rPr>
          <w:rFonts w:eastAsia="等线" w:ascii="Arial" w:cs="Arial" w:hAnsi="Arial"/>
          <w:sz w:val="22"/>
        </w:rPr>
        <w:t>GHG Protocol Corporate Standard 是企业温室气体核算常用框架，覆盖 CO₂、CH₄、N₂O、HFCs、PFCs、SF₆、NF₃ 等温室气体；Scope 3 Standard 则用于企业核算价值链上下游的间接排放，并包含 15 类 Scope 3 活动。(GHG Protocol)</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一、先假设一个业务场景 （业务向）</w:t>
      </w:r>
      <w:bookmarkEnd w:id="0"/>
    </w:p>
    <w:p>
      <w:pPr>
        <w:spacing w:before="120" w:after="120" w:line="288" w:lineRule="auto"/>
        <w:ind w:left="0"/>
        <w:jc w:val="left"/>
      </w:pPr>
      <w:r>
        <w:rPr>
          <w:rFonts w:eastAsia="等线" w:ascii="Arial" w:cs="Arial" w:hAnsi="Arial"/>
          <w:sz w:val="22"/>
        </w:rPr>
        <w:t>假设 Magna 某工厂为 OEM 客户代工生产一辆 SUV，工厂内包含：</w:t>
      </w:r>
    </w:p>
    <w:p>
      <w:pPr>
        <w:numPr>
          <w:numId w:val="1"/>
        </w:numPr>
        <w:spacing w:before="120" w:after="120" w:line="288" w:lineRule="auto"/>
        <w:ind w:left="0"/>
        <w:jc w:val="left"/>
      </w:pPr>
      <w:r>
        <w:rPr>
          <w:rFonts w:eastAsia="等线" w:ascii="Arial" w:cs="Arial" w:hAnsi="Arial"/>
          <w:sz w:val="22"/>
        </w:rPr>
        <w:t>冲压 / 车身焊装</w:t>
      </w:r>
    </w:p>
    <w:p>
      <w:pPr>
        <w:numPr>
          <w:numId w:val="2"/>
        </w:numPr>
        <w:spacing w:before="120" w:after="120" w:line="288" w:lineRule="auto"/>
        <w:ind w:left="0"/>
        <w:jc w:val="left"/>
      </w:pPr>
      <w:r>
        <w:rPr>
          <w:rFonts w:eastAsia="等线" w:ascii="Arial" w:cs="Arial" w:hAnsi="Arial"/>
          <w:sz w:val="22"/>
        </w:rPr>
        <w:t>涂装车间</w:t>
      </w:r>
    </w:p>
    <w:p>
      <w:pPr>
        <w:numPr>
          <w:numId w:val="3"/>
        </w:numPr>
        <w:spacing w:before="120" w:after="120" w:line="288" w:lineRule="auto"/>
        <w:ind w:left="0"/>
        <w:jc w:val="left"/>
      </w:pPr>
      <w:r>
        <w:rPr>
          <w:rFonts w:eastAsia="等线" w:ascii="Arial" w:cs="Arial" w:hAnsi="Arial"/>
          <w:sz w:val="22"/>
        </w:rPr>
        <w:t>总装车间</w:t>
      </w:r>
    </w:p>
    <w:p>
      <w:pPr>
        <w:numPr>
          <w:numId w:val="4"/>
        </w:numPr>
        <w:spacing w:before="120" w:after="120" w:line="288" w:lineRule="auto"/>
        <w:ind w:left="0"/>
        <w:jc w:val="left"/>
      </w:pPr>
      <w:r>
        <w:rPr>
          <w:rFonts w:eastAsia="等线" w:ascii="Arial" w:cs="Arial" w:hAnsi="Arial"/>
          <w:sz w:val="22"/>
        </w:rPr>
        <w:t>质量检测</w:t>
      </w:r>
    </w:p>
    <w:p>
      <w:pPr>
        <w:numPr>
          <w:numId w:val="5"/>
        </w:numPr>
        <w:spacing w:before="120" w:after="120" w:line="288" w:lineRule="auto"/>
        <w:ind w:left="0"/>
        <w:jc w:val="left"/>
      </w:pPr>
      <w:r>
        <w:rPr>
          <w:rFonts w:eastAsia="等线" w:ascii="Arial" w:cs="Arial" w:hAnsi="Arial"/>
          <w:sz w:val="22"/>
        </w:rPr>
        <w:t>厂内物流</w:t>
      </w:r>
    </w:p>
    <w:p>
      <w:pPr>
        <w:numPr>
          <w:numId w:val="6"/>
        </w:numPr>
        <w:spacing w:before="120" w:after="120" w:line="288" w:lineRule="auto"/>
        <w:ind w:left="0"/>
        <w:jc w:val="left"/>
      </w:pPr>
      <w:r>
        <w:rPr>
          <w:rFonts w:eastAsia="等线" w:ascii="Arial" w:cs="Arial" w:hAnsi="Arial"/>
          <w:sz w:val="22"/>
        </w:rPr>
        <w:t>空压站、锅炉、冷水机组、废气处理系统</w:t>
      </w:r>
    </w:p>
    <w:p>
      <w:pPr>
        <w:numPr>
          <w:numId w:val="7"/>
        </w:numPr>
        <w:spacing w:before="120" w:after="120" w:line="288" w:lineRule="auto"/>
        <w:ind w:left="0"/>
        <w:jc w:val="left"/>
      </w:pPr>
      <w:r>
        <w:rPr>
          <w:rFonts w:eastAsia="等线" w:ascii="Arial" w:cs="Arial" w:hAnsi="Arial"/>
          <w:sz w:val="22"/>
        </w:rPr>
        <w:t>外购电力</w:t>
      </w:r>
    </w:p>
    <w:p>
      <w:pPr>
        <w:numPr>
          <w:numId w:val="8"/>
        </w:numPr>
        <w:spacing w:before="120" w:after="120" w:line="288" w:lineRule="auto"/>
        <w:ind w:left="0"/>
        <w:jc w:val="left"/>
      </w:pPr>
      <w:r>
        <w:rPr>
          <w:rFonts w:eastAsia="等线" w:ascii="Arial" w:cs="Arial" w:hAnsi="Arial"/>
          <w:sz w:val="22"/>
        </w:rPr>
        <w:t>外购钢材、铝材、塑料件、玻璃、轮胎、电池包、电子件、座椅等零部件</w:t>
      </w:r>
    </w:p>
    <w:p>
      <w:pPr>
        <w:spacing w:before="120" w:after="120" w:line="288" w:lineRule="auto"/>
        <w:ind w:left="0"/>
        <w:jc w:val="left"/>
      </w:pPr>
      <w:r>
        <w:rPr>
          <w:rFonts w:eastAsia="等线" w:ascii="Arial" w:cs="Arial" w:hAnsi="Arial"/>
          <w:sz w:val="22"/>
        </w:rPr>
        <w:t>那么这辆车相关的碳排放可以拆成三层：</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85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二、Scope 1：需要哪些数据？怎么核算？</w:t>
      </w:r>
      <w:bookmarkEnd w:id="1"/>
    </w:p>
    <w:p>
      <w:pPr>
        <w:spacing w:before="120" w:after="120" w:line="288" w:lineRule="auto"/>
        <w:ind w:left="0"/>
        <w:jc w:val="left"/>
      </w:pPr>
      <w:r>
        <w:rPr>
          <w:rFonts w:eastAsia="等线" w:ascii="Arial" w:cs="Arial" w:hAnsi="Arial"/>
          <w:sz w:val="22"/>
        </w:rPr>
        <w:t xml:space="preserve">Scope 1 是 Magna </w:t>
      </w:r>
      <w:r>
        <w:rPr>
          <w:rFonts w:eastAsia="等线" w:ascii="Arial" w:cs="Arial" w:hAnsi="Arial"/>
          <w:b w:val="true"/>
          <w:sz w:val="22"/>
        </w:rPr>
        <w:t>自己拥有或控制的排放源</w:t>
      </w:r>
      <w:r>
        <w:rPr>
          <w:rFonts w:eastAsia="等线" w:ascii="Arial" w:cs="Arial" w:hAnsi="Arial"/>
          <w:sz w:val="22"/>
        </w:rPr>
        <w:t>。在汽车工厂里，重点不是“车本身”，而是工厂为了生产车所燃烧的燃料、泄漏的制冷剂、使用的厂内车辆等。</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Scope 1 需要的数据</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1）固定燃烧设备数据</w:t>
      </w:r>
      <w:bookmarkEnd w:id="3"/>
    </w:p>
    <w:p>
      <w:pPr>
        <w:spacing w:before="120" w:after="120" w:line="288" w:lineRule="auto"/>
        <w:ind w:left="0"/>
        <w:jc w:val="left"/>
      </w:pPr>
      <w:r>
        <w:rPr>
          <w:rFonts w:eastAsia="等线" w:ascii="Arial" w:cs="Arial" w:hAnsi="Arial"/>
          <w:sz w:val="22"/>
        </w:rPr>
        <w:t>比如：</w:t>
      </w:r>
    </w:p>
    <w:p>
      <w:pPr>
        <w:numPr>
          <w:numId w:val="9"/>
        </w:numPr>
        <w:spacing w:before="120" w:after="120" w:line="288" w:lineRule="auto"/>
        <w:ind w:left="0"/>
        <w:jc w:val="left"/>
      </w:pPr>
      <w:r>
        <w:rPr>
          <w:rFonts w:eastAsia="等线" w:ascii="Arial" w:cs="Arial" w:hAnsi="Arial"/>
          <w:sz w:val="22"/>
        </w:rPr>
        <w:t>天然气锅炉</w:t>
      </w:r>
    </w:p>
    <w:p>
      <w:pPr>
        <w:numPr>
          <w:numId w:val="10"/>
        </w:numPr>
        <w:spacing w:before="120" w:after="120" w:line="288" w:lineRule="auto"/>
        <w:ind w:left="0"/>
        <w:jc w:val="left"/>
      </w:pPr>
      <w:r>
        <w:rPr>
          <w:rFonts w:eastAsia="等线" w:ascii="Arial" w:cs="Arial" w:hAnsi="Arial"/>
          <w:sz w:val="22"/>
        </w:rPr>
        <w:t>涂装烘房</w:t>
      </w:r>
    </w:p>
    <w:p>
      <w:pPr>
        <w:numPr>
          <w:numId w:val="11"/>
        </w:numPr>
        <w:spacing w:before="120" w:after="120" w:line="288" w:lineRule="auto"/>
        <w:ind w:left="0"/>
        <w:jc w:val="left"/>
      </w:pPr>
      <w:r>
        <w:rPr>
          <w:rFonts w:eastAsia="等线" w:ascii="Arial" w:cs="Arial" w:hAnsi="Arial"/>
          <w:sz w:val="22"/>
        </w:rPr>
        <w:t>RTO / 废气焚烧设备</w:t>
      </w:r>
    </w:p>
    <w:p>
      <w:pPr>
        <w:numPr>
          <w:numId w:val="12"/>
        </w:numPr>
        <w:spacing w:before="120" w:after="120" w:line="288" w:lineRule="auto"/>
        <w:ind w:left="0"/>
        <w:jc w:val="left"/>
      </w:pPr>
      <w:r>
        <w:rPr>
          <w:rFonts w:eastAsia="等线" w:ascii="Arial" w:cs="Arial" w:hAnsi="Arial"/>
          <w:sz w:val="22"/>
        </w:rPr>
        <w:t>热处理炉</w:t>
      </w:r>
    </w:p>
    <w:p>
      <w:pPr>
        <w:numPr>
          <w:numId w:val="13"/>
        </w:numPr>
        <w:spacing w:before="120" w:after="120" w:line="288" w:lineRule="auto"/>
        <w:ind w:left="0"/>
        <w:jc w:val="left"/>
      </w:pPr>
      <w:r>
        <w:rPr>
          <w:rFonts w:eastAsia="等线" w:ascii="Arial" w:cs="Arial" w:hAnsi="Arial"/>
          <w:sz w:val="22"/>
        </w:rPr>
        <w:t>应急柴油发电机</w:t>
      </w:r>
    </w:p>
    <w:p>
      <w:pPr>
        <w:numPr>
          <w:numId w:val="14"/>
        </w:numPr>
        <w:spacing w:before="120" w:after="120" w:line="288" w:lineRule="auto"/>
        <w:ind w:left="0"/>
        <w:jc w:val="left"/>
      </w:pPr>
      <w:r>
        <w:rPr>
          <w:rFonts w:eastAsia="等线" w:ascii="Arial" w:cs="Arial" w:hAnsi="Arial"/>
          <w:sz w:val="22"/>
        </w:rPr>
        <w:t>厨房或宿舍燃气，如果纳入组织边界</w:t>
      </w:r>
    </w:p>
    <w:p>
      <w:pPr>
        <w:spacing w:before="120" w:after="120" w:line="288" w:lineRule="auto"/>
        <w:ind w:left="0"/>
        <w:jc w:val="left"/>
      </w:pPr>
      <w:r>
        <w:rPr>
          <w:rFonts w:eastAsia="等线" w:ascii="Arial" w:cs="Arial" w:hAnsi="Arial"/>
          <w:sz w:val="22"/>
        </w:rPr>
        <w:t>需要收集：</w:t>
      </w:r>
    </w:p>
    <w:p>
      <w:pPr>
        <w:spacing w:before="120" w:after="120" w:line="288" w:lineRule="auto"/>
        <w:ind w:left="0"/>
      </w:pPr>
      <w:r>
        <w:object>
          <v:shape id="_x0000_i1026" style="width:414pt;height:128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计算逻辑：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燃料燃烧排放 = 燃料消耗量 × 排放因子 × GWP 换算系数</w:t>
            </w:r>
          </w:p>
        </w:tc>
      </w:tr>
    </w:tbl>
    <w:p>
      <w:pPr>
        <w:spacing w:before="120" w:after="120" w:line="288" w:lineRule="auto"/>
        <w:ind w:left="0"/>
        <w:jc w:val="left"/>
      </w:pPr>
      <w:r>
        <w:rPr>
          <w:rFonts w:eastAsia="等线" w:ascii="Arial" w:cs="Arial" w:hAnsi="Arial"/>
          <w:sz w:val="22"/>
        </w:rPr>
        <w:t>例如：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涂装烘房天然气排放 = 年天然气消耗量 × 天然气 CO₂e 排放因子</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sz w:val="30"/>
        </w:rPr>
        <w:t>2）移动燃烧设备数据</w:t>
      </w:r>
      <w:bookmarkEnd w:id="4"/>
    </w:p>
    <w:p>
      <w:pPr>
        <w:spacing w:before="120" w:after="120" w:line="288" w:lineRule="auto"/>
        <w:ind w:left="0"/>
        <w:jc w:val="left"/>
      </w:pPr>
      <w:r>
        <w:rPr>
          <w:rFonts w:eastAsia="等线" w:ascii="Arial" w:cs="Arial" w:hAnsi="Arial"/>
          <w:sz w:val="22"/>
        </w:rPr>
        <w:t>比如：</w:t>
      </w:r>
    </w:p>
    <w:p>
      <w:pPr>
        <w:numPr>
          <w:numId w:val="15"/>
        </w:numPr>
        <w:spacing w:before="120" w:after="120" w:line="288" w:lineRule="auto"/>
        <w:ind w:left="0"/>
        <w:jc w:val="left"/>
      </w:pPr>
      <w:r>
        <w:rPr>
          <w:rFonts w:eastAsia="等线" w:ascii="Arial" w:cs="Arial" w:hAnsi="Arial"/>
          <w:sz w:val="22"/>
        </w:rPr>
        <w:t>厂内柴油叉车</w:t>
      </w:r>
    </w:p>
    <w:p>
      <w:pPr>
        <w:numPr>
          <w:numId w:val="16"/>
        </w:numPr>
        <w:spacing w:before="120" w:after="120" w:line="288" w:lineRule="auto"/>
        <w:ind w:left="0"/>
        <w:jc w:val="left"/>
      </w:pPr>
      <w:r>
        <w:rPr>
          <w:rFonts w:eastAsia="等线" w:ascii="Arial" w:cs="Arial" w:hAnsi="Arial"/>
          <w:sz w:val="22"/>
        </w:rPr>
        <w:t>LPG 叉车</w:t>
      </w:r>
    </w:p>
    <w:p>
      <w:pPr>
        <w:numPr>
          <w:numId w:val="17"/>
        </w:numPr>
        <w:spacing w:before="120" w:after="120" w:line="288" w:lineRule="auto"/>
        <w:ind w:left="0"/>
        <w:jc w:val="left"/>
      </w:pPr>
      <w:r>
        <w:rPr>
          <w:rFonts w:eastAsia="等线" w:ascii="Arial" w:cs="Arial" w:hAnsi="Arial"/>
          <w:sz w:val="22"/>
        </w:rPr>
        <w:t>厂内牵引车</w:t>
      </w:r>
    </w:p>
    <w:p>
      <w:pPr>
        <w:numPr>
          <w:numId w:val="18"/>
        </w:numPr>
        <w:spacing w:before="120" w:after="120" w:line="288" w:lineRule="auto"/>
        <w:ind w:left="0"/>
        <w:jc w:val="left"/>
      </w:pPr>
      <w:r>
        <w:rPr>
          <w:rFonts w:eastAsia="等线" w:ascii="Arial" w:cs="Arial" w:hAnsi="Arial"/>
          <w:sz w:val="22"/>
        </w:rPr>
        <w:t>公司自有卡车</w:t>
      </w:r>
    </w:p>
    <w:p>
      <w:pPr>
        <w:numPr>
          <w:numId w:val="19"/>
        </w:numPr>
        <w:spacing w:before="120" w:after="120" w:line="288" w:lineRule="auto"/>
        <w:ind w:left="0"/>
        <w:jc w:val="left"/>
      </w:pPr>
      <w:r>
        <w:rPr>
          <w:rFonts w:eastAsia="等线" w:ascii="Arial" w:cs="Arial" w:hAnsi="Arial"/>
          <w:sz w:val="22"/>
        </w:rPr>
        <w:t>公司自有商务车</w:t>
      </w:r>
    </w:p>
    <w:p>
      <w:pPr>
        <w:numPr>
          <w:numId w:val="20"/>
        </w:numPr>
        <w:spacing w:before="120" w:after="120" w:line="288" w:lineRule="auto"/>
        <w:ind w:left="0"/>
        <w:jc w:val="left"/>
      </w:pPr>
      <w:r>
        <w:rPr>
          <w:rFonts w:eastAsia="等线" w:ascii="Arial" w:cs="Arial" w:hAnsi="Arial"/>
          <w:sz w:val="22"/>
        </w:rPr>
        <w:t>测试车辆，如果燃料由企业承担且在边界内</w:t>
      </w:r>
    </w:p>
    <w:p>
      <w:pPr>
        <w:spacing w:before="120" w:after="120" w:line="288" w:lineRule="auto"/>
        <w:ind w:left="0"/>
        <w:jc w:val="left"/>
      </w:pPr>
      <w:r>
        <w:rPr>
          <w:rFonts w:eastAsia="等线" w:ascii="Arial" w:cs="Arial" w:hAnsi="Arial"/>
          <w:sz w:val="22"/>
        </w:rPr>
        <w:t>需要收集：</w:t>
      </w:r>
    </w:p>
    <w:p>
      <w:pPr>
        <w:spacing w:before="120" w:after="120" w:line="288" w:lineRule="auto"/>
        <w:ind w:left="0"/>
      </w:pPr>
      <w:r>
        <w:object>
          <v:shape id="_x0000_i1027" style="width:414pt;height:128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计算逻辑：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移动燃烧排放 = 燃料消耗量 × 对应燃料排放因子</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3）制冷剂和其他逸散排放数据</w:t>
      </w:r>
      <w:bookmarkEnd w:id="5"/>
    </w:p>
    <w:p>
      <w:pPr>
        <w:spacing w:before="120" w:after="120" w:line="288" w:lineRule="auto"/>
        <w:ind w:left="0"/>
        <w:jc w:val="left"/>
      </w:pPr>
      <w:r>
        <w:rPr>
          <w:rFonts w:eastAsia="等线" w:ascii="Arial" w:cs="Arial" w:hAnsi="Arial"/>
          <w:sz w:val="22"/>
        </w:rPr>
        <w:t>汽车工厂有大量空调、冷水机组、环境控制系统，尤其是涂装车间对温湿度要求高，制冷剂泄漏不能忽略。</w:t>
      </w:r>
    </w:p>
    <w:p>
      <w:pPr>
        <w:spacing w:before="120" w:after="120" w:line="288" w:lineRule="auto"/>
        <w:ind w:left="0"/>
        <w:jc w:val="left"/>
      </w:pPr>
      <w:r>
        <w:rPr>
          <w:rFonts w:eastAsia="等线" w:ascii="Arial" w:cs="Arial" w:hAnsi="Arial"/>
          <w:sz w:val="22"/>
        </w:rPr>
        <w:t>需要收集：</w:t>
      </w:r>
    </w:p>
    <w:p>
      <w:pPr>
        <w:spacing w:before="120" w:after="120" w:line="288" w:lineRule="auto"/>
        <w:ind w:left="0"/>
      </w:pPr>
      <w:r>
        <w:object>
          <v:shape id="_x0000_i1028" style="width:414pt;height:147pt;mso-width-percent:0;mso-height-percent:0;mso-width-percent:0;mso-height-percent:0" type="#_x0000_t75" o:ole="">
            <v:imagedata r:id="rId13" o:title=""/>
          </v:shape>
          <o:OLEObject DrawAspect="Icon" ObjectID="_1718471222" ProgID="Excel.Sheet.12" ShapeID="_x0000_i1028" Type="Embed" r:id="rId1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计算逻辑：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制冷剂排放 = 年度泄漏量 × 该制冷剂 GWP</w:t>
            </w:r>
          </w:p>
        </w:tc>
      </w:tr>
    </w:tbl>
    <w:p>
      <w:pPr>
        <w:spacing w:before="120" w:after="120" w:line="288" w:lineRule="auto"/>
        <w:ind w:left="0"/>
        <w:jc w:val="left"/>
      </w:pPr>
      <w:r>
        <w:rPr>
          <w:rFonts w:eastAsia="等线" w:ascii="Arial" w:cs="Arial" w:hAnsi="Arial"/>
          <w:sz w:val="22"/>
        </w:rPr>
        <w:t>如果没有直接泄漏监测，常用“补充量法”估算：补了多少，通常就认为泄漏了多少。</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2. </w:t>
      </w:r>
      <w:r>
        <w:rPr>
          <w:rFonts w:eastAsia="等线" w:ascii="Arial" w:cs="Arial" w:hAnsi="Arial"/>
          <w:b w:val="true"/>
          <w:sz w:val="32"/>
        </w:rPr>
        <w:t>Scope 1 的业务操作过程</w:t>
      </w:r>
      <w:bookmarkEnd w:id="6"/>
    </w:p>
    <w:p>
      <w:pPr>
        <w:spacing w:before="120" w:after="120" w:line="288" w:lineRule="auto"/>
        <w:ind w:left="0"/>
        <w:jc w:val="left"/>
      </w:pPr>
      <w:r>
        <w:rPr>
          <w:rFonts w:eastAsia="等线" w:ascii="Arial" w:cs="Arial" w:hAnsi="Arial"/>
          <w:sz w:val="22"/>
        </w:rPr>
        <w:t>实际项目里会这样做：</w:t>
      </w:r>
    </w:p>
    <w:p>
      <w:pPr>
        <w:numPr>
          <w:numId w:val="21"/>
        </w:numPr>
        <w:spacing w:before="120" w:after="120" w:line="288" w:lineRule="auto"/>
        <w:ind w:left="0"/>
        <w:jc w:val="left"/>
      </w:pPr>
      <w:r>
        <w:rPr>
          <w:rFonts w:eastAsia="等线" w:ascii="Arial" w:cs="Arial" w:hAnsi="Arial"/>
          <w:sz w:val="22"/>
        </w:rPr>
        <w:t>EHS 或能源部门提供设备清单。</w:t>
      </w:r>
    </w:p>
    <w:p>
      <w:pPr>
        <w:numPr>
          <w:numId w:val="22"/>
        </w:numPr>
        <w:spacing w:before="120" w:after="120" w:line="288" w:lineRule="auto"/>
        <w:ind w:left="0"/>
        <w:jc w:val="left"/>
      </w:pPr>
      <w:r>
        <w:rPr>
          <w:rFonts w:eastAsia="等线" w:ascii="Arial" w:cs="Arial" w:hAnsi="Arial"/>
          <w:sz w:val="22"/>
        </w:rPr>
        <w:t>财务/采购提供燃料采购账单。</w:t>
      </w:r>
    </w:p>
    <w:p>
      <w:pPr>
        <w:numPr>
          <w:numId w:val="23"/>
        </w:numPr>
        <w:spacing w:before="120" w:after="120" w:line="288" w:lineRule="auto"/>
        <w:ind w:left="0"/>
        <w:jc w:val="left"/>
      </w:pPr>
      <w:r>
        <w:rPr>
          <w:rFonts w:eastAsia="等线" w:ascii="Arial" w:cs="Arial" w:hAnsi="Arial"/>
          <w:sz w:val="22"/>
        </w:rPr>
        <w:t>设备部门提供流量计、锅炉台账、制冷剂维修记录。</w:t>
      </w:r>
    </w:p>
    <w:p>
      <w:pPr>
        <w:numPr>
          <w:numId w:val="24"/>
        </w:numPr>
        <w:spacing w:before="120" w:after="120" w:line="288" w:lineRule="auto"/>
        <w:ind w:left="0"/>
        <w:jc w:val="left"/>
      </w:pPr>
      <w:r>
        <w:rPr>
          <w:rFonts w:eastAsia="等线" w:ascii="Arial" w:cs="Arial" w:hAnsi="Arial"/>
          <w:sz w:val="22"/>
        </w:rPr>
        <w:t>碳核算团队判断哪些设备属于组织边界。</w:t>
      </w:r>
    </w:p>
    <w:p>
      <w:pPr>
        <w:numPr>
          <w:numId w:val="25"/>
        </w:numPr>
        <w:spacing w:before="120" w:after="120" w:line="288" w:lineRule="auto"/>
        <w:ind w:left="0"/>
        <w:jc w:val="left"/>
      </w:pPr>
      <w:r>
        <w:rPr>
          <w:rFonts w:eastAsia="等线" w:ascii="Arial" w:cs="Arial" w:hAnsi="Arial"/>
          <w:sz w:val="22"/>
        </w:rPr>
        <w:t>把不同燃料统一换算为 CO₂e。</w:t>
      </w:r>
    </w:p>
    <w:p>
      <w:pPr>
        <w:numPr>
          <w:numId w:val="26"/>
        </w:numPr>
        <w:spacing w:before="120" w:after="120" w:line="288" w:lineRule="auto"/>
        <w:ind w:left="0"/>
        <w:jc w:val="left"/>
      </w:pPr>
      <w:r>
        <w:rPr>
          <w:rFonts w:eastAsia="等线" w:ascii="Arial" w:cs="Arial" w:hAnsi="Arial"/>
          <w:sz w:val="22"/>
        </w:rPr>
        <w:t>再按生产线、车型、工艺段进行分摊。</w:t>
      </w:r>
    </w:p>
    <w:p>
      <w:pPr>
        <w:spacing w:before="120" w:after="120" w:line="288" w:lineRule="auto"/>
        <w:ind w:left="0"/>
        <w:jc w:val="left"/>
      </w:pPr>
      <w:r>
        <w:rPr>
          <w:rFonts w:eastAsia="等线" w:ascii="Arial" w:cs="Arial" w:hAnsi="Arial"/>
          <w:sz w:val="22"/>
        </w:rPr>
        <w:t>如果要算“单车 Scope 1”，就不能简单全厂总排放除以总产量，最好按工艺分摊：</w:t>
      </w:r>
    </w:p>
    <w:p>
      <w:pPr>
        <w:spacing w:before="120" w:after="120" w:line="288" w:lineRule="auto"/>
        <w:ind w:left="0"/>
      </w:pPr>
      <w:r>
        <w:object>
          <v:shape id="_x0000_i1029" style="width:414pt;height:90pt;mso-width-percent:0;mso-height-percent:0;mso-width-percent:0;mso-height-percent:0" type="#_x0000_t75" o:ole="">
            <v:imagedata r:id="rId15" o:title=""/>
          </v:shape>
          <o:OLEObject DrawAspect="Icon" ObjectID="_1718471223" ProgID="Excel.Sheet.12" ShapeID="_x0000_i1029" Type="Embed" r:id="rId14"/>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 w:id="7"/>
      <w:r>
        <w:rPr>
          <w:rFonts w:eastAsia="等线" w:ascii="Arial" w:cs="Arial" w:hAnsi="Arial"/>
          <w:b w:val="true"/>
          <w:sz w:val="36"/>
        </w:rPr>
        <w:t>三、Scope 2：需要哪些数据？怎么核算？</w:t>
      </w:r>
      <w:bookmarkEnd w:id="7"/>
    </w:p>
    <w:p>
      <w:pPr>
        <w:spacing w:before="120" w:after="120" w:line="288" w:lineRule="auto"/>
        <w:ind w:left="0"/>
        <w:jc w:val="left"/>
      </w:pPr>
      <w:r>
        <w:rPr>
          <w:rFonts w:eastAsia="等线" w:ascii="Arial" w:cs="Arial" w:hAnsi="Arial"/>
          <w:sz w:val="22"/>
        </w:rPr>
        <w:t xml:space="preserve">Scope 2 是 Magna </w:t>
      </w:r>
      <w:r>
        <w:rPr>
          <w:rFonts w:eastAsia="等线" w:ascii="Arial" w:cs="Arial" w:hAnsi="Arial"/>
          <w:b w:val="true"/>
          <w:sz w:val="22"/>
        </w:rPr>
        <w:t>购买的能源</w:t>
      </w:r>
      <w:r>
        <w:rPr>
          <w:rFonts w:eastAsia="等线" w:ascii="Arial" w:cs="Arial" w:hAnsi="Arial"/>
          <w:sz w:val="22"/>
        </w:rPr>
        <w:t>导致的间接排放，最典型就是外购电力。GHG Protocol Scope 2 Guidance 专门规范了企业如何核算外购电力、蒸汽、热力、冷量带来的排放。(</w:t>
      </w:r>
      <w:hyperlink r:id="rId16">
        <w:r>
          <w:rPr>
            <w:rFonts w:eastAsia="等线" w:ascii="Arial" w:cs="Arial" w:hAnsi="Arial"/>
            <w:color w:val="3370ff"/>
            <w:sz w:val="22"/>
          </w:rPr>
          <w:t>GHG Protocol</w:t>
        </w:r>
      </w:hyperlink>
      <w:r>
        <w:rPr>
          <w:rFonts w:eastAsia="等线" w:ascii="Arial" w:cs="Arial" w:hAnsi="Arial"/>
          <w:sz w:val="22"/>
        </w:rPr>
        <w:t>)</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1. </w:t>
      </w:r>
      <w:r>
        <w:rPr>
          <w:rFonts w:eastAsia="等线" w:ascii="Arial" w:cs="Arial" w:hAnsi="Arial"/>
          <w:b w:val="true"/>
          <w:sz w:val="32"/>
        </w:rPr>
        <w:t>Scope 2 需要的数据</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1）外购电力</w:t>
      </w:r>
      <w:bookmarkEnd w:id="9"/>
    </w:p>
    <w:p>
      <w:pPr>
        <w:spacing w:before="120" w:after="120" w:line="288" w:lineRule="auto"/>
        <w:ind w:left="0"/>
        <w:jc w:val="left"/>
      </w:pPr>
      <w:r>
        <w:rPr>
          <w:rFonts w:eastAsia="等线" w:ascii="Arial" w:cs="Arial" w:hAnsi="Arial"/>
          <w:sz w:val="22"/>
        </w:rPr>
        <w:t>需要收集：</w:t>
      </w:r>
    </w:p>
    <w:p>
      <w:pPr>
        <w:spacing w:before="120" w:after="120" w:line="288" w:lineRule="auto"/>
        <w:ind w:left="0"/>
      </w:pPr>
      <w:r>
        <w:object>
          <v:shape id="_x0000_i1030" style="width:414pt;height:163pt;mso-width-percent:0;mso-height-percent:0;mso-width-percent:0;mso-height-percent:0" type="#_x0000_t75" o:ole="">
            <v:imagedata r:id="rId18" o:title=""/>
          </v:shape>
          <o:OLEObject DrawAspect="Icon" ObjectID="_1718471224" ProgID="Excel.Sheet.12" ShapeID="_x0000_i1030" Type="Embed" r:id="rId17"/>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Scope 2 通常有两种算法：</w:t>
      </w:r>
    </w:p>
    <w:p>
      <w:pPr>
        <w:spacing w:before="120" w:after="120" w:line="288" w:lineRule="auto"/>
        <w:ind w:left="0"/>
      </w:pPr>
      <w:r>
        <w:object>
          <v:shape id="_x0000_i1031" style="width:414pt;height:56pt;mso-width-percent:0;mso-height-percent:0;mso-width-percent:0;mso-height-percent:0" type="#_x0000_t75" o:ole="">
            <v:imagedata r:id="rId20" o:title=""/>
          </v:shape>
          <o:OLEObject DrawAspect="Icon" ObjectID="_1718471225" ProgID="Excel.Sheet.12" ShapeID="_x0000_i1031" Type="Embed" r:id="rId19"/>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GHG Protocol Scope 2 Guidance 区分了 location-based 和 market-based 方法：前者反映所在电网平均排放强度，后者反映企业通过合同工具选择购买的电力属性。(GHG Protocol)</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2）外购蒸汽、热力、冷量</w:t>
      </w:r>
      <w:bookmarkEnd w:id="10"/>
    </w:p>
    <w:p>
      <w:pPr>
        <w:spacing w:before="120" w:after="120" w:line="288" w:lineRule="auto"/>
        <w:ind w:left="0"/>
        <w:jc w:val="left"/>
      </w:pPr>
      <w:r>
        <w:rPr>
          <w:rFonts w:eastAsia="等线" w:ascii="Arial" w:cs="Arial" w:hAnsi="Arial"/>
          <w:sz w:val="22"/>
        </w:rPr>
        <w:t>有些园区会统一供应蒸汽、热水、冷冻水。</w:t>
      </w:r>
    </w:p>
    <w:p>
      <w:pPr>
        <w:spacing w:before="120" w:after="120" w:line="288" w:lineRule="auto"/>
        <w:ind w:left="0"/>
        <w:jc w:val="left"/>
      </w:pPr>
      <w:r>
        <w:rPr>
          <w:rFonts w:eastAsia="等线" w:ascii="Arial" w:cs="Arial" w:hAnsi="Arial"/>
          <w:sz w:val="22"/>
        </w:rPr>
        <w:t>需要收集：</w:t>
      </w:r>
    </w:p>
    <w:p>
      <w:pPr>
        <w:spacing w:before="120" w:after="120" w:line="288" w:lineRule="auto"/>
        <w:ind w:left="0"/>
      </w:pPr>
      <w:r>
        <w:object>
          <v:shape id="_x0000_i1032" style="width:414pt;height:128pt;mso-width-percent:0;mso-height-percent:0;mso-width-percent:0;mso-height-percent:0" type="#_x0000_t75" o:ole="">
            <v:imagedata r:id="rId22" o:title=""/>
          </v:shape>
          <o:OLEObject DrawAspect="Icon" ObjectID="_1718471226" ProgID="Excel.Sheet.12" ShapeID="_x0000_i1032" Type="Embed" r:id="rId21"/>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计算逻辑：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Scope 2 排放 = 外购能源使用量 × 对应能源排放因子</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 </w:t>
      </w:r>
      <w:r>
        <w:rPr>
          <w:rFonts w:eastAsia="等线" w:ascii="Arial" w:cs="Arial" w:hAnsi="Arial"/>
          <w:b w:val="true"/>
          <w:sz w:val="32"/>
        </w:rPr>
        <w:t>Scope 2 的业务操作过程</w:t>
      </w:r>
      <w:bookmarkEnd w:id="11"/>
    </w:p>
    <w:p>
      <w:pPr>
        <w:spacing w:before="120" w:after="120" w:line="288" w:lineRule="auto"/>
        <w:ind w:left="0"/>
        <w:jc w:val="left"/>
      </w:pPr>
      <w:r>
        <w:rPr>
          <w:rFonts w:eastAsia="等线" w:ascii="Arial" w:cs="Arial" w:hAnsi="Arial"/>
          <w:sz w:val="22"/>
        </w:rPr>
        <w:t>实际操作是：</w:t>
      </w:r>
    </w:p>
    <w:p>
      <w:pPr>
        <w:numPr>
          <w:numId w:val="27"/>
        </w:numPr>
        <w:spacing w:before="120" w:after="120" w:line="288" w:lineRule="auto"/>
        <w:ind w:left="0"/>
        <w:jc w:val="left"/>
      </w:pPr>
      <w:r>
        <w:rPr>
          <w:rFonts w:eastAsia="等线" w:ascii="Arial" w:cs="Arial" w:hAnsi="Arial"/>
          <w:sz w:val="22"/>
        </w:rPr>
        <w:t>能源部门导出电表和蒸汽表数据。</w:t>
      </w:r>
    </w:p>
    <w:p>
      <w:pPr>
        <w:numPr>
          <w:numId w:val="28"/>
        </w:numPr>
        <w:spacing w:before="120" w:after="120" w:line="288" w:lineRule="auto"/>
        <w:ind w:left="0"/>
        <w:jc w:val="left"/>
      </w:pPr>
      <w:r>
        <w:rPr>
          <w:rFonts w:eastAsia="等线" w:ascii="Arial" w:cs="Arial" w:hAnsi="Arial"/>
          <w:sz w:val="22"/>
        </w:rPr>
        <w:t>财务核对电费和能源账单。</w:t>
      </w:r>
    </w:p>
    <w:p>
      <w:pPr>
        <w:numPr>
          <w:numId w:val="29"/>
        </w:numPr>
        <w:spacing w:before="120" w:after="120" w:line="288" w:lineRule="auto"/>
        <w:ind w:left="0"/>
        <w:jc w:val="left"/>
      </w:pPr>
      <w:r>
        <w:rPr>
          <w:rFonts w:eastAsia="等线" w:ascii="Arial" w:cs="Arial" w:hAnsi="Arial"/>
          <w:sz w:val="22"/>
        </w:rPr>
        <w:t>可持续发展部门确认是否购买绿电、绿证、PPA。</w:t>
      </w:r>
    </w:p>
    <w:p>
      <w:pPr>
        <w:numPr>
          <w:numId w:val="30"/>
        </w:numPr>
        <w:spacing w:before="120" w:after="120" w:line="288" w:lineRule="auto"/>
        <w:ind w:left="0"/>
        <w:jc w:val="left"/>
      </w:pPr>
      <w:r>
        <w:rPr>
          <w:rFonts w:eastAsia="等线" w:ascii="Arial" w:cs="Arial" w:hAnsi="Arial"/>
          <w:sz w:val="22"/>
        </w:rPr>
        <w:t>核算人员分别计算地点法和市场法。</w:t>
      </w:r>
    </w:p>
    <w:p>
      <w:pPr>
        <w:numPr>
          <w:numId w:val="31"/>
        </w:numPr>
        <w:spacing w:before="120" w:after="120" w:line="288" w:lineRule="auto"/>
        <w:ind w:left="0"/>
        <w:jc w:val="left"/>
      </w:pPr>
      <w:r>
        <w:rPr>
          <w:rFonts w:eastAsia="等线" w:ascii="Arial" w:cs="Arial" w:hAnsi="Arial"/>
          <w:sz w:val="22"/>
        </w:rPr>
        <w:t>如果要分摊到单车，需要按车间或工艺分配。</w:t>
      </w:r>
    </w:p>
    <w:p>
      <w:pPr>
        <w:spacing w:before="120" w:after="120" w:line="288" w:lineRule="auto"/>
        <w:ind w:left="0"/>
        <w:jc w:val="left"/>
      </w:pPr>
      <w:r>
        <w:rPr>
          <w:rFonts w:eastAsia="等线" w:ascii="Arial" w:cs="Arial" w:hAnsi="Arial"/>
          <w:sz w:val="22"/>
        </w:rPr>
        <w:t>单车分摊时，推荐优先级是：</w:t>
      </w:r>
    </w:p>
    <w:p>
      <w:pPr>
        <w:spacing w:before="120" w:after="120" w:line="288" w:lineRule="auto"/>
        <w:ind w:left="0"/>
      </w:pPr>
      <w:r>
        <w:object>
          <v:shape id="_x0000_i1033" style="width:414pt;height:90pt;mso-width-percent:0;mso-height-percent:0;mso-width-percent:0;mso-height-percent:0" type="#_x0000_t75" o:ole="">
            <v:imagedata r:id="rId24" o:title=""/>
          </v:shape>
          <o:OLEObject DrawAspect="Icon" ObjectID="_1718471227" ProgID="Excel.Sheet.12" ShapeID="_x0000_i1033" Type="Embed" r:id="rId23"/>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汽车制造里，</w:t>
      </w:r>
      <w:r>
        <w:rPr>
          <w:rFonts w:eastAsia="等线" w:ascii="Arial" w:cs="Arial" w:hAnsi="Arial"/>
          <w:b w:val="true"/>
          <w:sz w:val="22"/>
        </w:rPr>
        <w:t>涂装车间通常是 Scope 1/2 的重点区域</w:t>
      </w:r>
      <w:r>
        <w:rPr>
          <w:rFonts w:eastAsia="等线" w:ascii="Arial" w:cs="Arial" w:hAnsi="Arial"/>
          <w:sz w:val="22"/>
        </w:rPr>
        <w:t>，因为它既可能用天然气，也可能大量用电、蒸汽、压缩空气和空调系统。</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2" w:id="12"/>
      <w:r>
        <w:rPr>
          <w:rFonts w:eastAsia="等线" w:ascii="Arial" w:cs="Arial" w:hAnsi="Arial"/>
          <w:b w:val="true"/>
          <w:sz w:val="36"/>
        </w:rPr>
        <w:t>四、Scope 3：需要哪些数据？怎么核算？</w:t>
      </w:r>
      <w:bookmarkEnd w:id="12"/>
    </w:p>
    <w:p>
      <w:pPr>
        <w:spacing w:before="120" w:after="120" w:line="288" w:lineRule="auto"/>
        <w:ind w:left="0"/>
        <w:jc w:val="left"/>
      </w:pPr>
      <w:r>
        <w:rPr>
          <w:rFonts w:eastAsia="等线" w:ascii="Arial" w:cs="Arial" w:hAnsi="Arial"/>
          <w:sz w:val="22"/>
        </w:rPr>
        <w:t>Scope 3 是最复杂的，因为它不是 Magna 自己烟囱、电表里的数据，而是来自供应商、物流商、员工、客户和产品生命周期。GHG Protocol Scope 3 Standard 允许企业核算 15 类上下游价值链排放，而且明确 Scope 3 是企业围墙之外的重要排放来源。(GHG Protocol)</w:t>
      </w:r>
    </w:p>
    <w:p>
      <w:pPr>
        <w:spacing w:before="120" w:after="120" w:line="288" w:lineRule="auto"/>
        <w:ind w:left="0"/>
        <w:jc w:val="left"/>
      </w:pPr>
      <w:r>
        <w:rPr>
          <w:rFonts w:eastAsia="等线" w:ascii="Arial" w:cs="Arial" w:hAnsi="Arial"/>
          <w:sz w:val="22"/>
        </w:rPr>
        <w:t>对于汽车制造，Scope 3 通常是最大头，尤其是：</w:t>
      </w:r>
    </w:p>
    <w:p>
      <w:pPr>
        <w:numPr>
          <w:numId w:val="32"/>
        </w:numPr>
        <w:spacing w:before="120" w:after="120" w:line="288" w:lineRule="auto"/>
        <w:ind w:left="0"/>
        <w:jc w:val="left"/>
      </w:pPr>
      <w:r>
        <w:rPr>
          <w:rFonts w:eastAsia="等线" w:ascii="Arial" w:cs="Arial" w:hAnsi="Arial"/>
          <w:sz w:val="22"/>
        </w:rPr>
        <w:t>原材料和零部件</w:t>
      </w:r>
    </w:p>
    <w:p>
      <w:pPr>
        <w:numPr>
          <w:numId w:val="33"/>
        </w:numPr>
        <w:spacing w:before="120" w:after="120" w:line="288" w:lineRule="auto"/>
        <w:ind w:left="0"/>
        <w:jc w:val="left"/>
      </w:pPr>
      <w:r>
        <w:rPr>
          <w:rFonts w:eastAsia="等线" w:ascii="Arial" w:cs="Arial" w:hAnsi="Arial"/>
          <w:sz w:val="22"/>
        </w:rPr>
        <w:t>电池包</w:t>
      </w:r>
    </w:p>
    <w:p>
      <w:pPr>
        <w:numPr>
          <w:numId w:val="34"/>
        </w:numPr>
        <w:spacing w:before="120" w:after="120" w:line="288" w:lineRule="auto"/>
        <w:ind w:left="0"/>
        <w:jc w:val="left"/>
      </w:pPr>
      <w:r>
        <w:rPr>
          <w:rFonts w:eastAsia="等线" w:ascii="Arial" w:cs="Arial" w:hAnsi="Arial"/>
          <w:sz w:val="22"/>
        </w:rPr>
        <w:t>钢、铝、塑料、橡胶、玻璃</w:t>
      </w:r>
    </w:p>
    <w:p>
      <w:pPr>
        <w:numPr>
          <w:numId w:val="35"/>
        </w:numPr>
        <w:spacing w:before="120" w:after="120" w:line="288" w:lineRule="auto"/>
        <w:ind w:left="0"/>
        <w:jc w:val="left"/>
      </w:pPr>
      <w:r>
        <w:rPr>
          <w:rFonts w:eastAsia="等线" w:ascii="Arial" w:cs="Arial" w:hAnsi="Arial"/>
          <w:sz w:val="22"/>
        </w:rPr>
        <w:t>入厂物流</w:t>
      </w:r>
    </w:p>
    <w:p>
      <w:pPr>
        <w:numPr>
          <w:numId w:val="36"/>
        </w:numPr>
        <w:spacing w:before="120" w:after="120" w:line="288" w:lineRule="auto"/>
        <w:ind w:left="0"/>
        <w:jc w:val="left"/>
      </w:pPr>
      <w:r>
        <w:rPr>
          <w:rFonts w:eastAsia="等线" w:ascii="Arial" w:cs="Arial" w:hAnsi="Arial"/>
          <w:sz w:val="22"/>
        </w:rPr>
        <w:t>车辆使用阶段</w:t>
      </w:r>
    </w:p>
    <w:p>
      <w:pPr>
        <w:numPr>
          <w:numId w:val="37"/>
        </w:numPr>
        <w:spacing w:before="120" w:after="120" w:line="288" w:lineRule="auto"/>
        <w:ind w:left="0"/>
        <w:jc w:val="left"/>
      </w:pPr>
      <w:r>
        <w:rPr>
          <w:rFonts w:eastAsia="等线" w:ascii="Arial" w:cs="Arial" w:hAnsi="Arial"/>
          <w:sz w:val="22"/>
        </w:rPr>
        <w:t>报废回收</w:t>
      </w:r>
    </w:p>
    <w:p>
      <w:pPr>
        <w:spacing w:before="120" w:after="120" w:line="288" w:lineRule="auto"/>
        <w:ind w:left="0"/>
        <w:jc w:val="left"/>
      </w:pPr>
      <w:r>
        <w:rPr>
          <w:rFonts w:eastAsia="等线" w:ascii="Arial" w:cs="Arial" w:hAnsi="Arial"/>
          <w:sz w:val="22"/>
        </w:rPr>
        <w:t>不过要注意：如果 Magna 是</w:t>
      </w:r>
      <w:r>
        <w:rPr>
          <w:rFonts w:eastAsia="等线" w:ascii="Arial" w:cs="Arial" w:hAnsi="Arial"/>
          <w:b w:val="true"/>
          <w:sz w:val="22"/>
        </w:rPr>
        <w:t>代工制造商</w:t>
      </w:r>
      <w:r>
        <w:rPr>
          <w:rFonts w:eastAsia="等线" w:ascii="Arial" w:cs="Arial" w:hAnsi="Arial"/>
          <w:sz w:val="22"/>
        </w:rPr>
        <w:t>，而不是车辆品牌方，那么“车辆使用阶段”是否进入 Magna 的 Scope 3 Category 11，要看交易边界、所有权、收入确认和报告口径。但如果你做的是</w:t>
      </w:r>
      <w:r>
        <w:rPr>
          <w:rFonts w:eastAsia="等线" w:ascii="Arial" w:cs="Arial" w:hAnsi="Arial"/>
          <w:b w:val="true"/>
          <w:sz w:val="22"/>
        </w:rPr>
        <w:t>产品碳足迹</w:t>
      </w:r>
      <w:r>
        <w:rPr>
          <w:rFonts w:eastAsia="等线" w:ascii="Arial" w:cs="Arial" w:hAnsi="Arial"/>
          <w:sz w:val="22"/>
        </w:rPr>
        <w:t>，通常就应该考虑车辆生命周期，包括使用阶段和报废阶段。GHG Protocol 也区分了企业价值链 Scope 3 和单个产品层面的 Product Standard。(</w:t>
      </w:r>
      <w:hyperlink r:id="rId25">
        <w:r>
          <w:rPr>
            <w:rFonts w:eastAsia="等线" w:ascii="Arial" w:cs="Arial" w:hAnsi="Arial"/>
            <w:color w:val="3370ff"/>
            <w:sz w:val="22"/>
          </w:rPr>
          <w:t>GHG Protocol</w:t>
        </w:r>
      </w:hyperlink>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1. </w:t>
      </w:r>
      <w:r>
        <w:rPr>
          <w:rFonts w:eastAsia="等线" w:ascii="Arial" w:cs="Arial" w:hAnsi="Arial"/>
          <w:b w:val="true"/>
          <w:sz w:val="32"/>
        </w:rPr>
        <w:t>Scope 3 上游：生产一辆车前发生的排放</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Category 1：外购商品和服务</w:t>
      </w:r>
      <w:bookmarkEnd w:id="14"/>
    </w:p>
    <w:p>
      <w:pPr>
        <w:spacing w:before="120" w:after="120" w:line="288" w:lineRule="auto"/>
        <w:ind w:left="0"/>
        <w:jc w:val="left"/>
      </w:pPr>
      <w:r>
        <w:rPr>
          <w:rFonts w:eastAsia="等线" w:ascii="Arial" w:cs="Arial" w:hAnsi="Arial"/>
          <w:sz w:val="22"/>
        </w:rPr>
        <w:t>这是汽车制造最核心的数据。</w:t>
      </w:r>
    </w:p>
    <w:p>
      <w:pPr>
        <w:spacing w:before="120" w:after="120" w:line="288" w:lineRule="auto"/>
        <w:ind w:left="0"/>
        <w:jc w:val="left"/>
      </w:pPr>
      <w:r>
        <w:rPr>
          <w:rFonts w:eastAsia="等线" w:ascii="Arial" w:cs="Arial" w:hAnsi="Arial"/>
          <w:sz w:val="22"/>
        </w:rPr>
        <w:t>需要收集：</w:t>
      </w:r>
    </w:p>
    <w:p>
      <w:pPr>
        <w:spacing w:before="120" w:after="120" w:line="288" w:lineRule="auto"/>
        <w:ind w:left="0"/>
      </w:pPr>
      <w:r>
        <w:object>
          <v:shape id="_x0000_i1034" style="width:414pt;height:182pt;mso-width-percent:0;mso-height-percent:0;mso-width-percent:0;mso-height-percent:0" type="#_x0000_t75" o:ole="">
            <v:imagedata r:id="rId27" o:title=""/>
          </v:shape>
          <o:OLEObject DrawAspect="Icon" ObjectID="_1718471228" ProgID="Excel.Sheet.12" ShapeID="_x0000_i1034" Type="Embed" r:id="rId2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计算逻辑有三种：</w:t>
      </w:r>
    </w:p>
    <w:p>
      <w:pPr>
        <w:spacing w:before="120" w:after="120" w:line="288" w:lineRule="auto"/>
        <w:ind w:left="0"/>
      </w:pPr>
      <w:r>
        <w:object>
          <v:shape id="_x0000_i1035" style="width:414pt;height:75pt;mso-width-percent:0;mso-height-percent:0;mso-width-percent:0;mso-height-percent:0" type="#_x0000_t75" o:ole="">
            <v:imagedata r:id="rId29" o:title=""/>
          </v:shape>
          <o:OLEObject DrawAspect="Icon" ObjectID="_1718471229" ProgID="Excel.Sheet.12" ShapeID="_x0000_i1035" Type="Embed" r:id="rId2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汽车项目里，建议优先用：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BOM 重量法 + 供应商 PCF 补充 + 关键件专项核算</w:t>
            </w:r>
          </w:p>
        </w:tc>
      </w:tr>
    </w:tbl>
    <w:p>
      <w:pPr>
        <w:spacing w:before="120" w:after="120" w:line="288" w:lineRule="auto"/>
        <w:ind w:left="0"/>
        <w:jc w:val="left"/>
      </w:pPr>
      <w:r>
        <w:rPr>
          <w:rFonts w:eastAsia="等线" w:ascii="Arial" w:cs="Arial" w:hAnsi="Arial"/>
          <w:sz w:val="22"/>
        </w:rPr>
        <w:t>尤其是这些高影响部件：</w:t>
      </w:r>
    </w:p>
    <w:p>
      <w:pPr>
        <w:numPr>
          <w:numId w:val="38"/>
        </w:numPr>
        <w:spacing w:before="120" w:after="120" w:line="288" w:lineRule="auto"/>
        <w:ind w:left="0"/>
        <w:jc w:val="left"/>
      </w:pPr>
      <w:r>
        <w:rPr>
          <w:rFonts w:eastAsia="等线" w:ascii="Arial" w:cs="Arial" w:hAnsi="Arial"/>
          <w:sz w:val="22"/>
        </w:rPr>
        <w:t>电池包</w:t>
      </w:r>
    </w:p>
    <w:p>
      <w:pPr>
        <w:numPr>
          <w:numId w:val="39"/>
        </w:numPr>
        <w:spacing w:before="120" w:after="120" w:line="288" w:lineRule="auto"/>
        <w:ind w:left="0"/>
        <w:jc w:val="left"/>
      </w:pPr>
      <w:r>
        <w:rPr>
          <w:rFonts w:eastAsia="等线" w:ascii="Arial" w:cs="Arial" w:hAnsi="Arial"/>
          <w:sz w:val="22"/>
        </w:rPr>
        <w:t>铝合金结构件</w:t>
      </w:r>
    </w:p>
    <w:p>
      <w:pPr>
        <w:numPr>
          <w:numId w:val="40"/>
        </w:numPr>
        <w:spacing w:before="120" w:after="120" w:line="288" w:lineRule="auto"/>
        <w:ind w:left="0"/>
        <w:jc w:val="left"/>
      </w:pPr>
      <w:r>
        <w:rPr>
          <w:rFonts w:eastAsia="等线" w:ascii="Arial" w:cs="Arial" w:hAnsi="Arial"/>
          <w:sz w:val="22"/>
        </w:rPr>
        <w:t>钢材</w:t>
      </w:r>
    </w:p>
    <w:p>
      <w:pPr>
        <w:numPr>
          <w:numId w:val="41"/>
        </w:numPr>
        <w:spacing w:before="120" w:after="120" w:line="288" w:lineRule="auto"/>
        <w:ind w:left="0"/>
        <w:jc w:val="left"/>
      </w:pPr>
      <w:r>
        <w:rPr>
          <w:rFonts w:eastAsia="等线" w:ascii="Arial" w:cs="Arial" w:hAnsi="Arial"/>
          <w:sz w:val="22"/>
        </w:rPr>
        <w:t>轮胎</w:t>
      </w:r>
    </w:p>
    <w:p>
      <w:pPr>
        <w:numPr>
          <w:numId w:val="42"/>
        </w:numPr>
        <w:spacing w:before="120" w:after="120" w:line="288" w:lineRule="auto"/>
        <w:ind w:left="0"/>
        <w:jc w:val="left"/>
      </w:pPr>
      <w:r>
        <w:rPr>
          <w:rFonts w:eastAsia="等线" w:ascii="Arial" w:cs="Arial" w:hAnsi="Arial"/>
          <w:sz w:val="22"/>
        </w:rPr>
        <w:t>玻璃</w:t>
      </w:r>
    </w:p>
    <w:p>
      <w:pPr>
        <w:numPr>
          <w:numId w:val="43"/>
        </w:numPr>
        <w:spacing w:before="120" w:after="120" w:line="288" w:lineRule="auto"/>
        <w:ind w:left="0"/>
        <w:jc w:val="left"/>
      </w:pPr>
      <w:r>
        <w:rPr>
          <w:rFonts w:eastAsia="等线" w:ascii="Arial" w:cs="Arial" w:hAnsi="Arial"/>
          <w:sz w:val="22"/>
        </w:rPr>
        <w:t>座椅泡棉</w:t>
      </w:r>
    </w:p>
    <w:p>
      <w:pPr>
        <w:numPr>
          <w:numId w:val="44"/>
        </w:numPr>
        <w:spacing w:before="120" w:after="120" w:line="288" w:lineRule="auto"/>
        <w:ind w:left="0"/>
        <w:jc w:val="left"/>
      </w:pPr>
      <w:r>
        <w:rPr>
          <w:rFonts w:eastAsia="等线" w:ascii="Arial" w:cs="Arial" w:hAnsi="Arial"/>
          <w:sz w:val="22"/>
        </w:rPr>
        <w:t>电子控制器</w:t>
      </w:r>
    </w:p>
    <w:p>
      <w:pPr>
        <w:numPr>
          <w:numId w:val="45"/>
        </w:numPr>
        <w:spacing w:before="120" w:after="120" w:line="288" w:lineRule="auto"/>
        <w:ind w:left="0"/>
        <w:jc w:val="left"/>
      </w:pPr>
      <w:r>
        <w:rPr>
          <w:rFonts w:eastAsia="等线" w:ascii="Arial" w:cs="Arial" w:hAnsi="Arial"/>
          <w:sz w:val="22"/>
        </w:rPr>
        <w:t>线束铜材</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Category 2：资本品</w:t>
      </w:r>
      <w:bookmarkEnd w:id="15"/>
    </w:p>
    <w:p>
      <w:pPr>
        <w:spacing w:before="120" w:after="120" w:line="288" w:lineRule="auto"/>
        <w:ind w:left="0"/>
        <w:jc w:val="left"/>
      </w:pPr>
      <w:r>
        <w:rPr>
          <w:rFonts w:eastAsia="等线" w:ascii="Arial" w:cs="Arial" w:hAnsi="Arial"/>
          <w:sz w:val="22"/>
        </w:rPr>
        <w:t>比如：</w:t>
      </w:r>
    </w:p>
    <w:p>
      <w:pPr>
        <w:numPr>
          <w:numId w:val="46"/>
        </w:numPr>
        <w:spacing w:before="120" w:after="120" w:line="288" w:lineRule="auto"/>
        <w:ind w:left="0"/>
        <w:jc w:val="left"/>
      </w:pPr>
      <w:r>
        <w:rPr>
          <w:rFonts w:eastAsia="等线" w:ascii="Arial" w:cs="Arial" w:hAnsi="Arial"/>
          <w:sz w:val="22"/>
        </w:rPr>
        <w:t>新建厂房</w:t>
      </w:r>
    </w:p>
    <w:p>
      <w:pPr>
        <w:numPr>
          <w:numId w:val="47"/>
        </w:numPr>
        <w:spacing w:before="120" w:after="120" w:line="288" w:lineRule="auto"/>
        <w:ind w:left="0"/>
        <w:jc w:val="left"/>
      </w:pPr>
      <w:r>
        <w:rPr>
          <w:rFonts w:eastAsia="等线" w:ascii="Arial" w:cs="Arial" w:hAnsi="Arial"/>
          <w:sz w:val="22"/>
        </w:rPr>
        <w:t>机器人产线</w:t>
      </w:r>
    </w:p>
    <w:p>
      <w:pPr>
        <w:numPr>
          <w:numId w:val="48"/>
        </w:numPr>
        <w:spacing w:before="120" w:after="120" w:line="288" w:lineRule="auto"/>
        <w:ind w:left="0"/>
        <w:jc w:val="left"/>
      </w:pPr>
      <w:r>
        <w:rPr>
          <w:rFonts w:eastAsia="等线" w:ascii="Arial" w:cs="Arial" w:hAnsi="Arial"/>
          <w:sz w:val="22"/>
        </w:rPr>
        <w:t>冲压设备</w:t>
      </w:r>
    </w:p>
    <w:p>
      <w:pPr>
        <w:numPr>
          <w:numId w:val="49"/>
        </w:numPr>
        <w:spacing w:before="120" w:after="120" w:line="288" w:lineRule="auto"/>
        <w:ind w:left="0"/>
        <w:jc w:val="left"/>
      </w:pPr>
      <w:r>
        <w:rPr>
          <w:rFonts w:eastAsia="等线" w:ascii="Arial" w:cs="Arial" w:hAnsi="Arial"/>
          <w:sz w:val="22"/>
        </w:rPr>
        <w:t>喷涂线</w:t>
      </w:r>
    </w:p>
    <w:p>
      <w:pPr>
        <w:numPr>
          <w:numId w:val="50"/>
        </w:numPr>
        <w:spacing w:before="120" w:after="120" w:line="288" w:lineRule="auto"/>
        <w:ind w:left="0"/>
        <w:jc w:val="left"/>
      </w:pPr>
      <w:r>
        <w:rPr>
          <w:rFonts w:eastAsia="等线" w:ascii="Arial" w:cs="Arial" w:hAnsi="Arial"/>
          <w:sz w:val="22"/>
        </w:rPr>
        <w:t>焊接机器人</w:t>
      </w:r>
    </w:p>
    <w:p>
      <w:pPr>
        <w:numPr>
          <w:numId w:val="51"/>
        </w:numPr>
        <w:spacing w:before="120" w:after="120" w:line="288" w:lineRule="auto"/>
        <w:ind w:left="0"/>
        <w:jc w:val="left"/>
      </w:pPr>
      <w:r>
        <w:rPr>
          <w:rFonts w:eastAsia="等线" w:ascii="Arial" w:cs="Arial" w:hAnsi="Arial"/>
          <w:sz w:val="22"/>
        </w:rPr>
        <w:t>AGV</w:t>
      </w:r>
    </w:p>
    <w:p>
      <w:pPr>
        <w:numPr>
          <w:numId w:val="52"/>
        </w:numPr>
        <w:spacing w:before="120" w:after="120" w:line="288" w:lineRule="auto"/>
        <w:ind w:left="0"/>
        <w:jc w:val="left"/>
      </w:pPr>
      <w:r>
        <w:rPr>
          <w:rFonts w:eastAsia="等线" w:ascii="Arial" w:cs="Arial" w:hAnsi="Arial"/>
          <w:sz w:val="22"/>
        </w:rPr>
        <w:t>模具</w:t>
      </w:r>
    </w:p>
    <w:p>
      <w:pPr>
        <w:numPr>
          <w:numId w:val="53"/>
        </w:numPr>
        <w:spacing w:before="120" w:after="120" w:line="288" w:lineRule="auto"/>
        <w:ind w:left="0"/>
        <w:jc w:val="left"/>
      </w:pPr>
      <w:r>
        <w:rPr>
          <w:rFonts w:eastAsia="等线" w:ascii="Arial" w:cs="Arial" w:hAnsi="Arial"/>
          <w:sz w:val="22"/>
        </w:rPr>
        <w:t>检具</w:t>
      </w:r>
    </w:p>
    <w:p>
      <w:pPr>
        <w:spacing w:before="120" w:after="120" w:line="288" w:lineRule="auto"/>
        <w:ind w:left="0"/>
        <w:jc w:val="left"/>
      </w:pPr>
      <w:r>
        <w:rPr>
          <w:rFonts w:eastAsia="等线" w:ascii="Arial" w:cs="Arial" w:hAnsi="Arial"/>
          <w:sz w:val="22"/>
        </w:rPr>
        <w:t>需要收集：</w:t>
      </w:r>
    </w:p>
    <w:p>
      <w:pPr>
        <w:spacing w:before="120" w:after="120" w:line="288" w:lineRule="auto"/>
        <w:ind w:left="0"/>
      </w:pPr>
      <w:r>
        <w:object>
          <v:shape id="_x0000_i1036" style="width:414pt;height:109pt;mso-width-percent:0;mso-height-percent:0;mso-width-percent:0;mso-height-percent:0" type="#_x0000_t75" o:ole="">
            <v:imagedata r:id="rId31" o:title=""/>
          </v:shape>
          <o:OLEObject DrawAspect="Icon" ObjectID="_1718471230" ProgID="Excel.Sheet.12" ShapeID="_x0000_i1036" Type="Embed" r:id="rId3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资本品一般不直接算到某一辆车，除非做完整产品碳足迹或内部成本分摊。常见做法是按设备寿命和产量摊销。</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Category 3：燃料和能源相关活动，不含 Scope 1/2</w:t>
      </w:r>
      <w:bookmarkEnd w:id="16"/>
    </w:p>
    <w:p>
      <w:pPr>
        <w:spacing w:before="120" w:after="120" w:line="288" w:lineRule="auto"/>
        <w:ind w:left="0"/>
        <w:jc w:val="left"/>
      </w:pPr>
      <w:r>
        <w:rPr>
          <w:rFonts w:eastAsia="等线" w:ascii="Arial" w:cs="Arial" w:hAnsi="Arial"/>
          <w:sz w:val="22"/>
        </w:rPr>
        <w:t>这个很容易被忽略。</w:t>
      </w:r>
    </w:p>
    <w:p>
      <w:pPr>
        <w:spacing w:before="120" w:after="120" w:line="288" w:lineRule="auto"/>
        <w:ind w:left="0"/>
        <w:jc w:val="left"/>
      </w:pPr>
      <w:r>
        <w:rPr>
          <w:rFonts w:eastAsia="等线" w:ascii="Arial" w:cs="Arial" w:hAnsi="Arial"/>
          <w:sz w:val="22"/>
        </w:rPr>
        <w:t>它不是再算一次 Scope 1/2，而是算：</w:t>
      </w:r>
    </w:p>
    <w:p>
      <w:pPr>
        <w:numPr>
          <w:numId w:val="54"/>
        </w:numPr>
        <w:spacing w:before="120" w:after="120" w:line="288" w:lineRule="auto"/>
        <w:ind w:left="0"/>
        <w:jc w:val="left"/>
      </w:pPr>
      <w:r>
        <w:rPr>
          <w:rFonts w:eastAsia="等线" w:ascii="Arial" w:cs="Arial" w:hAnsi="Arial"/>
          <w:sz w:val="22"/>
        </w:rPr>
        <w:t>天然气开采、处理、运输的上游排放</w:t>
      </w:r>
    </w:p>
    <w:p>
      <w:pPr>
        <w:numPr>
          <w:numId w:val="55"/>
        </w:numPr>
        <w:spacing w:before="120" w:after="120" w:line="288" w:lineRule="auto"/>
        <w:ind w:left="0"/>
        <w:jc w:val="left"/>
      </w:pPr>
      <w:r>
        <w:rPr>
          <w:rFonts w:eastAsia="等线" w:ascii="Arial" w:cs="Arial" w:hAnsi="Arial"/>
          <w:sz w:val="22"/>
        </w:rPr>
        <w:t>柴油炼制和运输的上游排放</w:t>
      </w:r>
    </w:p>
    <w:p>
      <w:pPr>
        <w:numPr>
          <w:numId w:val="56"/>
        </w:numPr>
        <w:spacing w:before="120" w:after="120" w:line="288" w:lineRule="auto"/>
        <w:ind w:left="0"/>
        <w:jc w:val="left"/>
      </w:pPr>
      <w:r>
        <w:rPr>
          <w:rFonts w:eastAsia="等线" w:ascii="Arial" w:cs="Arial" w:hAnsi="Arial"/>
          <w:sz w:val="22"/>
        </w:rPr>
        <w:t>电力输配损耗</w:t>
      </w:r>
    </w:p>
    <w:p>
      <w:pPr>
        <w:numPr>
          <w:numId w:val="57"/>
        </w:numPr>
        <w:spacing w:before="120" w:after="120" w:line="288" w:lineRule="auto"/>
        <w:ind w:left="0"/>
        <w:jc w:val="left"/>
      </w:pPr>
      <w:r>
        <w:rPr>
          <w:rFonts w:eastAsia="等线" w:ascii="Arial" w:cs="Arial" w:hAnsi="Arial"/>
          <w:sz w:val="22"/>
        </w:rPr>
        <w:t>发电燃料的上游排放</w:t>
      </w:r>
    </w:p>
    <w:p>
      <w:pPr>
        <w:spacing w:before="120" w:after="120" w:line="288" w:lineRule="auto"/>
        <w:ind w:left="0"/>
        <w:jc w:val="left"/>
      </w:pPr>
      <w:r>
        <w:rPr>
          <w:rFonts w:eastAsia="等线" w:ascii="Arial" w:cs="Arial" w:hAnsi="Arial"/>
          <w:sz w:val="22"/>
        </w:rPr>
        <w:t>需要的数据来自 Scope 1/2：</w:t>
      </w:r>
    </w:p>
    <w:p>
      <w:pPr>
        <w:spacing w:before="120" w:after="120" w:line="288" w:lineRule="auto"/>
        <w:ind w:left="0"/>
      </w:pPr>
      <w:r>
        <w:object>
          <v:shape id="_x0000_i1037" style="width:414pt;height:75pt;mso-width-percent:0;mso-height-percent:0;mso-width-percent:0;mso-height-percent:0" type="#_x0000_t75" o:ole="">
            <v:imagedata r:id="rId33" o:title=""/>
          </v:shape>
          <o:OLEObject DrawAspect="Icon" ObjectID="_1718471231" ProgID="Excel.Sheet.12" ShapeID="_x0000_i1037" Type="Embed" r:id="rId3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所以 Scope 1/2 的能源数据会直接影响 Scope 3。</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Category 4：上游运输和配送</w:t>
      </w:r>
      <w:bookmarkEnd w:id="17"/>
    </w:p>
    <w:p>
      <w:pPr>
        <w:spacing w:before="120" w:after="120" w:line="288" w:lineRule="auto"/>
        <w:ind w:left="0"/>
        <w:jc w:val="left"/>
      </w:pPr>
      <w:r>
        <w:rPr>
          <w:rFonts w:eastAsia="等线" w:ascii="Arial" w:cs="Arial" w:hAnsi="Arial"/>
          <w:sz w:val="22"/>
        </w:rPr>
        <w:t>比如：</w:t>
      </w:r>
    </w:p>
    <w:p>
      <w:pPr>
        <w:numPr>
          <w:numId w:val="58"/>
        </w:numPr>
        <w:spacing w:before="120" w:after="120" w:line="288" w:lineRule="auto"/>
        <w:ind w:left="0"/>
        <w:jc w:val="left"/>
      </w:pPr>
      <w:r>
        <w:rPr>
          <w:rFonts w:eastAsia="等线" w:ascii="Arial" w:cs="Arial" w:hAnsi="Arial"/>
          <w:sz w:val="22"/>
        </w:rPr>
        <w:t>钢材从钢厂到 Magna 工厂</w:t>
      </w:r>
    </w:p>
    <w:p>
      <w:pPr>
        <w:numPr>
          <w:numId w:val="59"/>
        </w:numPr>
        <w:spacing w:before="120" w:after="120" w:line="288" w:lineRule="auto"/>
        <w:ind w:left="0"/>
        <w:jc w:val="left"/>
      </w:pPr>
      <w:r>
        <w:rPr>
          <w:rFonts w:eastAsia="等线" w:ascii="Arial" w:cs="Arial" w:hAnsi="Arial"/>
          <w:sz w:val="22"/>
        </w:rPr>
        <w:t>电池包从供应商到总装厂</w:t>
      </w:r>
    </w:p>
    <w:p>
      <w:pPr>
        <w:numPr>
          <w:numId w:val="60"/>
        </w:numPr>
        <w:spacing w:before="120" w:after="120" w:line="288" w:lineRule="auto"/>
        <w:ind w:left="0"/>
        <w:jc w:val="left"/>
      </w:pPr>
      <w:r>
        <w:rPr>
          <w:rFonts w:eastAsia="等线" w:ascii="Arial" w:cs="Arial" w:hAnsi="Arial"/>
          <w:sz w:val="22"/>
        </w:rPr>
        <w:t>轮胎、玻璃、座椅、线束的入厂物流</w:t>
      </w:r>
    </w:p>
    <w:p>
      <w:pPr>
        <w:numPr>
          <w:numId w:val="61"/>
        </w:numPr>
        <w:spacing w:before="120" w:after="120" w:line="288" w:lineRule="auto"/>
        <w:ind w:left="0"/>
        <w:jc w:val="left"/>
      </w:pPr>
      <w:r>
        <w:rPr>
          <w:rFonts w:eastAsia="等线" w:ascii="Arial" w:cs="Arial" w:hAnsi="Arial"/>
          <w:sz w:val="22"/>
        </w:rPr>
        <w:t>海运、铁路、公路、空运</w:t>
      </w:r>
    </w:p>
    <w:p>
      <w:pPr>
        <w:spacing w:before="120" w:after="120" w:line="288" w:lineRule="auto"/>
        <w:ind w:left="0"/>
        <w:jc w:val="left"/>
      </w:pPr>
      <w:r>
        <w:rPr>
          <w:rFonts w:eastAsia="等线" w:ascii="Arial" w:cs="Arial" w:hAnsi="Arial"/>
          <w:sz w:val="22"/>
        </w:rPr>
        <w:t>需要收集：</w:t>
      </w:r>
    </w:p>
    <w:p>
      <w:pPr>
        <w:spacing w:before="120" w:after="120" w:line="288" w:lineRule="auto"/>
        <w:ind w:left="0"/>
      </w:pPr>
      <w:r>
        <w:object>
          <v:shape id="_x0000_i1038" style="width:414pt;height:147pt;mso-width-percent:0;mso-height-percent:0;mso-width-percent:0;mso-height-percent:0" type="#_x0000_t75" o:ole="">
            <v:imagedata r:id="rId35" o:title=""/>
          </v:shape>
          <o:OLEObject DrawAspect="Icon" ObjectID="_1718471232" ProgID="Excel.Sheet.12" ShapeID="_x0000_i1038" Type="Embed" r:id="rId3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计算逻辑：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运输排放 = 货物重量 × 运输距离 × 运输方式排放因子</w:t>
            </w:r>
          </w:p>
        </w:tc>
      </w:tr>
    </w:tbl>
    <w:p>
      <w:pPr>
        <w:spacing w:before="120" w:after="120" w:line="288" w:lineRule="auto"/>
        <w:ind w:left="0"/>
        <w:jc w:val="left"/>
      </w:pPr>
      <w:r>
        <w:rPr>
          <w:rFonts w:eastAsia="等线" w:ascii="Arial" w:cs="Arial" w:hAnsi="Arial"/>
          <w:sz w:val="22"/>
        </w:rPr>
        <w:t>也就是常说的：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吨公里 × 排放因子</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b w:val="true"/>
          <w:sz w:val="30"/>
        </w:rPr>
        <w:t>Category 5：运营产生的废弃物</w:t>
      </w:r>
      <w:bookmarkEnd w:id="18"/>
    </w:p>
    <w:p>
      <w:pPr>
        <w:spacing w:before="120" w:after="120" w:line="288" w:lineRule="auto"/>
        <w:ind w:left="0"/>
        <w:jc w:val="left"/>
      </w:pPr>
      <w:r>
        <w:rPr>
          <w:rFonts w:eastAsia="等线" w:ascii="Arial" w:cs="Arial" w:hAnsi="Arial"/>
          <w:sz w:val="22"/>
        </w:rPr>
        <w:t>比如：</w:t>
      </w:r>
    </w:p>
    <w:p>
      <w:pPr>
        <w:numPr>
          <w:numId w:val="62"/>
        </w:numPr>
        <w:spacing w:before="120" w:after="120" w:line="288" w:lineRule="auto"/>
        <w:ind w:left="0"/>
        <w:jc w:val="left"/>
      </w:pPr>
      <w:r>
        <w:rPr>
          <w:rFonts w:eastAsia="等线" w:ascii="Arial" w:cs="Arial" w:hAnsi="Arial"/>
          <w:sz w:val="22"/>
        </w:rPr>
        <w:t>冲压边角料</w:t>
      </w:r>
    </w:p>
    <w:p>
      <w:pPr>
        <w:numPr>
          <w:numId w:val="63"/>
        </w:numPr>
        <w:spacing w:before="120" w:after="120" w:line="288" w:lineRule="auto"/>
        <w:ind w:left="0"/>
        <w:jc w:val="left"/>
      </w:pPr>
      <w:r>
        <w:rPr>
          <w:rFonts w:eastAsia="等线" w:ascii="Arial" w:cs="Arial" w:hAnsi="Arial"/>
          <w:sz w:val="22"/>
        </w:rPr>
        <w:t>焊渣</w:t>
      </w:r>
    </w:p>
    <w:p>
      <w:pPr>
        <w:numPr>
          <w:numId w:val="64"/>
        </w:numPr>
        <w:spacing w:before="120" w:after="120" w:line="288" w:lineRule="auto"/>
        <w:ind w:left="0"/>
        <w:jc w:val="left"/>
      </w:pPr>
      <w:r>
        <w:rPr>
          <w:rFonts w:eastAsia="等线" w:ascii="Arial" w:cs="Arial" w:hAnsi="Arial"/>
          <w:sz w:val="22"/>
        </w:rPr>
        <w:t>废漆渣</w:t>
      </w:r>
    </w:p>
    <w:p>
      <w:pPr>
        <w:numPr>
          <w:numId w:val="65"/>
        </w:numPr>
        <w:spacing w:before="120" w:after="120" w:line="288" w:lineRule="auto"/>
        <w:ind w:left="0"/>
        <w:jc w:val="left"/>
      </w:pPr>
      <w:r>
        <w:rPr>
          <w:rFonts w:eastAsia="等线" w:ascii="Arial" w:cs="Arial" w:hAnsi="Arial"/>
          <w:sz w:val="22"/>
        </w:rPr>
        <w:t>废溶剂</w:t>
      </w:r>
    </w:p>
    <w:p>
      <w:pPr>
        <w:numPr>
          <w:numId w:val="66"/>
        </w:numPr>
        <w:spacing w:before="120" w:after="120" w:line="288" w:lineRule="auto"/>
        <w:ind w:left="0"/>
        <w:jc w:val="left"/>
      </w:pPr>
      <w:r>
        <w:rPr>
          <w:rFonts w:eastAsia="等线" w:ascii="Arial" w:cs="Arial" w:hAnsi="Arial"/>
          <w:sz w:val="22"/>
        </w:rPr>
        <w:t>废包装</w:t>
      </w:r>
    </w:p>
    <w:p>
      <w:pPr>
        <w:numPr>
          <w:numId w:val="67"/>
        </w:numPr>
        <w:spacing w:before="120" w:after="120" w:line="288" w:lineRule="auto"/>
        <w:ind w:left="0"/>
        <w:jc w:val="left"/>
      </w:pPr>
      <w:r>
        <w:rPr>
          <w:rFonts w:eastAsia="等线" w:ascii="Arial" w:cs="Arial" w:hAnsi="Arial"/>
          <w:sz w:val="22"/>
        </w:rPr>
        <w:t>废水污泥</w:t>
      </w:r>
    </w:p>
    <w:p>
      <w:pPr>
        <w:numPr>
          <w:numId w:val="68"/>
        </w:numPr>
        <w:spacing w:before="120" w:after="120" w:line="288" w:lineRule="auto"/>
        <w:ind w:left="0"/>
        <w:jc w:val="left"/>
      </w:pPr>
      <w:r>
        <w:rPr>
          <w:rFonts w:eastAsia="等线" w:ascii="Arial" w:cs="Arial" w:hAnsi="Arial"/>
          <w:sz w:val="22"/>
        </w:rPr>
        <w:t>报废零部件</w:t>
      </w:r>
    </w:p>
    <w:p>
      <w:pPr>
        <w:numPr>
          <w:numId w:val="69"/>
        </w:numPr>
        <w:spacing w:before="120" w:after="120" w:line="288" w:lineRule="auto"/>
        <w:ind w:left="0"/>
        <w:jc w:val="left"/>
      </w:pPr>
      <w:r>
        <w:rPr>
          <w:rFonts w:eastAsia="等线" w:ascii="Arial" w:cs="Arial" w:hAnsi="Arial"/>
          <w:sz w:val="22"/>
        </w:rPr>
        <w:t>一般生活垃圾</w:t>
      </w:r>
    </w:p>
    <w:p>
      <w:pPr>
        <w:spacing w:before="120" w:after="120" w:line="288" w:lineRule="auto"/>
        <w:ind w:left="0"/>
        <w:jc w:val="left"/>
      </w:pPr>
      <w:r>
        <w:rPr>
          <w:rFonts w:eastAsia="等线" w:ascii="Arial" w:cs="Arial" w:hAnsi="Arial"/>
          <w:sz w:val="22"/>
        </w:rPr>
        <w:t>需要收集：</w:t>
      </w:r>
    </w:p>
    <w:p>
      <w:pPr>
        <w:spacing w:before="120" w:after="120" w:line="288" w:lineRule="auto"/>
        <w:ind w:left="0"/>
      </w:pPr>
      <w:r>
        <w:object>
          <v:shape id="_x0000_i1039" style="width:414pt;height:128pt;mso-width-percent:0;mso-height-percent:0;mso-width-percent:0;mso-height-percent:0" type="#_x0000_t75" o:ole="">
            <v:imagedata r:id="rId37" o:title=""/>
          </v:shape>
          <o:OLEObject DrawAspect="Icon" ObjectID="_1718471233" ProgID="Excel.Sheet.12" ShapeID="_x0000_i1039" Type="Embed" r:id="rId3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注意，废钢、废铝回收容易和材料碳足迹发生边界争议。要明确你采用的是 cut-off、avoided burden，还是其他 LCA 分配方法。</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Category 6 / 7：商务旅行和员工通勤</w:t>
      </w:r>
      <w:bookmarkEnd w:id="19"/>
    </w:p>
    <w:p>
      <w:pPr>
        <w:spacing w:before="120" w:after="120" w:line="288" w:lineRule="auto"/>
        <w:ind w:left="0"/>
        <w:jc w:val="left"/>
      </w:pPr>
      <w:r>
        <w:rPr>
          <w:rFonts w:eastAsia="等线" w:ascii="Arial" w:cs="Arial" w:hAnsi="Arial"/>
          <w:sz w:val="22"/>
        </w:rPr>
        <w:t>对于汽车制造，这两项通常不是最大头，但组织碳盘查会算。</w:t>
      </w:r>
    </w:p>
    <w:p>
      <w:pPr>
        <w:spacing w:before="120" w:after="120" w:line="288" w:lineRule="auto"/>
        <w:ind w:left="0"/>
        <w:jc w:val="left"/>
      </w:pPr>
      <w:r>
        <w:rPr>
          <w:rFonts w:eastAsia="等线" w:ascii="Arial" w:cs="Arial" w:hAnsi="Arial"/>
          <w:sz w:val="22"/>
        </w:rPr>
        <w:t>需要数据：</w:t>
      </w:r>
    </w:p>
    <w:p>
      <w:pPr>
        <w:spacing w:before="120" w:after="120" w:line="288" w:lineRule="auto"/>
        <w:ind w:left="0"/>
      </w:pPr>
      <w:r>
        <w:object>
          <v:shape id="_x0000_i1040" style="width:414pt;height:75pt;mso-width-percent:0;mso-height-percent:0;mso-width-percent:0;mso-height-percent:0" type="#_x0000_t75" o:ole="">
            <v:imagedata r:id="rId39" o:title=""/>
          </v:shape>
          <o:OLEObject DrawAspect="Icon" ObjectID="_1718471234" ProgID="Excel.Sheet.12" ShapeID="_x0000_i1040" Type="Embed" r:id="rId38"/>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2. </w:t>
      </w:r>
      <w:r>
        <w:rPr>
          <w:rFonts w:eastAsia="等线" w:ascii="Arial" w:cs="Arial" w:hAnsi="Arial"/>
          <w:b w:val="true"/>
          <w:sz w:val="32"/>
        </w:rPr>
        <w:t>Scope 3 下游：车离开工厂之后的排放</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Category 9：下游运输和配送</w:t>
      </w:r>
      <w:bookmarkEnd w:id="21"/>
    </w:p>
    <w:p>
      <w:pPr>
        <w:spacing w:before="120" w:after="120" w:line="288" w:lineRule="auto"/>
        <w:ind w:left="0"/>
        <w:jc w:val="left"/>
      </w:pPr>
      <w:r>
        <w:rPr>
          <w:rFonts w:eastAsia="等线" w:ascii="Arial" w:cs="Arial" w:hAnsi="Arial"/>
          <w:sz w:val="22"/>
        </w:rPr>
        <w:t>比如：</w:t>
      </w:r>
    </w:p>
    <w:p>
      <w:pPr>
        <w:numPr>
          <w:numId w:val="70"/>
        </w:numPr>
        <w:spacing w:before="120" w:after="120" w:line="288" w:lineRule="auto"/>
        <w:ind w:left="0"/>
        <w:jc w:val="left"/>
      </w:pPr>
      <w:r>
        <w:rPr>
          <w:rFonts w:eastAsia="等线" w:ascii="Arial" w:cs="Arial" w:hAnsi="Arial"/>
          <w:sz w:val="22"/>
        </w:rPr>
        <w:t>成车从 Magna 工厂运到 OEM 仓库</w:t>
      </w:r>
    </w:p>
    <w:p>
      <w:pPr>
        <w:numPr>
          <w:numId w:val="71"/>
        </w:numPr>
        <w:spacing w:before="120" w:after="120" w:line="288" w:lineRule="auto"/>
        <w:ind w:left="0"/>
        <w:jc w:val="left"/>
      </w:pPr>
      <w:r>
        <w:rPr>
          <w:rFonts w:eastAsia="等线" w:ascii="Arial" w:cs="Arial" w:hAnsi="Arial"/>
          <w:sz w:val="22"/>
        </w:rPr>
        <w:t>运到经销商</w:t>
      </w:r>
    </w:p>
    <w:p>
      <w:pPr>
        <w:numPr>
          <w:numId w:val="72"/>
        </w:numPr>
        <w:spacing w:before="120" w:after="120" w:line="288" w:lineRule="auto"/>
        <w:ind w:left="0"/>
        <w:jc w:val="left"/>
      </w:pPr>
      <w:r>
        <w:rPr>
          <w:rFonts w:eastAsia="等线" w:ascii="Arial" w:cs="Arial" w:hAnsi="Arial"/>
          <w:sz w:val="22"/>
        </w:rPr>
        <w:t>海运出口</w:t>
      </w:r>
    </w:p>
    <w:p>
      <w:pPr>
        <w:numPr>
          <w:numId w:val="73"/>
        </w:numPr>
        <w:spacing w:before="120" w:after="120" w:line="288" w:lineRule="auto"/>
        <w:ind w:left="0"/>
        <w:jc w:val="left"/>
      </w:pPr>
      <w:r>
        <w:rPr>
          <w:rFonts w:eastAsia="等线" w:ascii="Arial" w:cs="Arial" w:hAnsi="Arial"/>
          <w:sz w:val="22"/>
        </w:rPr>
        <w:t>铁路运输</w:t>
      </w:r>
    </w:p>
    <w:p>
      <w:pPr>
        <w:numPr>
          <w:numId w:val="74"/>
        </w:numPr>
        <w:spacing w:before="120" w:after="120" w:line="288" w:lineRule="auto"/>
        <w:ind w:left="0"/>
        <w:jc w:val="left"/>
      </w:pPr>
      <w:r>
        <w:rPr>
          <w:rFonts w:eastAsia="等线" w:ascii="Arial" w:cs="Arial" w:hAnsi="Arial"/>
          <w:sz w:val="22"/>
        </w:rPr>
        <w:t>板车运输</w:t>
      </w:r>
    </w:p>
    <w:p>
      <w:pPr>
        <w:spacing w:before="120" w:after="120" w:line="288" w:lineRule="auto"/>
        <w:ind w:left="0"/>
        <w:jc w:val="left"/>
      </w:pPr>
      <w:r>
        <w:rPr>
          <w:rFonts w:eastAsia="等线" w:ascii="Arial" w:cs="Arial" w:hAnsi="Arial"/>
          <w:sz w:val="22"/>
        </w:rPr>
        <w:t>需要数据：</w:t>
      </w:r>
    </w:p>
    <w:p>
      <w:pPr>
        <w:spacing w:before="120" w:after="120" w:line="288" w:lineRule="auto"/>
        <w:ind w:left="0"/>
      </w:pPr>
      <w:r>
        <w:object>
          <v:shape id="_x0000_i1041" style="width:414pt;height:109pt;mso-width-percent:0;mso-height-percent:0;mso-width-percent:0;mso-height-percent:0" type="#_x0000_t75" o:ole="">
            <v:imagedata r:id="rId41" o:title=""/>
          </v:shape>
          <o:OLEObject DrawAspect="Icon" ObjectID="_1718471235" ProgID="Excel.Sheet.12" ShapeID="_x0000_i1041" Type="Embed" r:id="rId40"/>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 w:id="22"/>
      <w:r>
        <w:rPr>
          <w:rFonts w:eastAsia="等线" w:ascii="Arial" w:cs="Arial" w:hAnsi="Arial"/>
          <w:b w:val="true"/>
          <w:sz w:val="30"/>
        </w:rPr>
        <w:t>Category 11：售出产品的使用</w:t>
      </w:r>
      <w:bookmarkEnd w:id="22"/>
    </w:p>
    <w:p>
      <w:pPr>
        <w:spacing w:before="120" w:after="120" w:line="288" w:lineRule="auto"/>
        <w:ind w:left="0"/>
        <w:jc w:val="left"/>
      </w:pPr>
      <w:r>
        <w:rPr>
          <w:rFonts w:eastAsia="等线" w:ascii="Arial" w:cs="Arial" w:hAnsi="Arial"/>
          <w:sz w:val="22"/>
        </w:rPr>
        <w:t>这是汽车全生命周期里可能非常大的部分，尤其是燃油车。</w:t>
      </w:r>
    </w:p>
    <w:p>
      <w:pPr>
        <w:spacing w:before="120" w:after="120" w:line="288" w:lineRule="auto"/>
        <w:ind w:left="0"/>
        <w:jc w:val="left"/>
      </w:pPr>
      <w:r>
        <w:rPr>
          <w:rFonts w:eastAsia="等线" w:ascii="Arial" w:cs="Arial" w:hAnsi="Arial"/>
          <w:sz w:val="22"/>
        </w:rPr>
        <w:t>如果这辆车是燃油车，需要：</w:t>
      </w:r>
    </w:p>
    <w:p>
      <w:pPr>
        <w:spacing w:before="120" w:after="120" w:line="288" w:lineRule="auto"/>
        <w:ind w:left="0"/>
      </w:pPr>
      <w:r>
        <w:object>
          <v:shape id="_x0000_i1042" style="width:414pt;height:109pt;mso-width-percent:0;mso-height-percent:0;mso-width-percent:0;mso-height-percent:0" type="#_x0000_t75" o:ole="">
            <v:imagedata r:id="rId43" o:title=""/>
          </v:shape>
          <o:OLEObject DrawAspect="Icon" ObjectID="_1718471236" ProgID="Excel.Sheet.12" ShapeID="_x0000_i1042" Type="Embed" r:id="rId4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计算逻辑：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使用阶段排放 = 生命周期行驶里程 × 单位里程能耗 × 燃料排放因子</w:t>
            </w:r>
          </w:p>
        </w:tc>
      </w:tr>
    </w:tbl>
    <w:p>
      <w:pPr>
        <w:spacing w:before="120" w:after="120" w:line="288" w:lineRule="auto"/>
        <w:ind w:left="0"/>
        <w:jc w:val="left"/>
      </w:pPr>
      <w:r>
        <w:rPr>
          <w:rFonts w:eastAsia="等线" w:ascii="Arial" w:cs="Arial" w:hAnsi="Arial"/>
          <w:sz w:val="22"/>
        </w:rPr>
        <w:t>如果是电动车，需要：</w:t>
      </w:r>
    </w:p>
    <w:p>
      <w:pPr>
        <w:spacing w:before="120" w:after="120" w:line="288" w:lineRule="auto"/>
        <w:ind w:left="0"/>
      </w:pPr>
      <w:r>
        <w:object>
          <v:shape id="_x0000_i1043" style="width:414pt;height:109pt;mso-width-percent:0;mso-height-percent:0;mso-width-percent:0;mso-height-percent:0" type="#_x0000_t75" o:ole="">
            <v:imagedata r:id="rId45" o:title=""/>
          </v:shape>
          <o:OLEObject DrawAspect="Icon" ObjectID="_1718471237" ProgID="Excel.Sheet.12" ShapeID="_x0000_i1043" Type="Embed" r:id="rId4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计算逻辑：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电动车使用阶段排放 = 生命周期里程 × 单位里程电耗 × 充电电网排放因子</w:t>
            </w:r>
          </w:p>
        </w:tc>
      </w:tr>
    </w:tbl>
    <w:p>
      <w:pPr>
        <w:spacing w:before="120" w:after="120" w:line="288" w:lineRule="auto"/>
        <w:ind w:left="0"/>
        <w:jc w:val="left"/>
      </w:pPr>
      <w:r>
        <w:rPr>
          <w:rFonts w:eastAsia="等线" w:ascii="Arial" w:cs="Arial" w:hAnsi="Arial"/>
          <w:sz w:val="22"/>
        </w:rPr>
        <w:t>这里要特别注意：电动车在工厂生产阶段可能因为电池导致 Scope 3 Category 1 很高，但使用阶段可能比燃油车低，具体取决于当地电网结构和车辆寿命里程。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 w:id="23"/>
      <w:r>
        <w:rPr>
          <w:rFonts w:eastAsia="等线" w:ascii="Arial" w:cs="Arial" w:hAnsi="Arial"/>
          <w:b w:val="true"/>
          <w:sz w:val="30"/>
        </w:rPr>
        <w:t>Category 12：售出产品的最终处置</w:t>
      </w:r>
      <w:bookmarkEnd w:id="23"/>
    </w:p>
    <w:p>
      <w:pPr>
        <w:spacing w:before="120" w:after="120" w:line="288" w:lineRule="auto"/>
        <w:ind w:left="0"/>
        <w:jc w:val="left"/>
      </w:pPr>
      <w:r>
        <w:rPr>
          <w:rFonts w:eastAsia="等线" w:ascii="Arial" w:cs="Arial" w:hAnsi="Arial"/>
          <w:sz w:val="22"/>
        </w:rPr>
        <w:t>车辆报废阶段需要：</w:t>
      </w:r>
    </w:p>
    <w:p>
      <w:pPr>
        <w:spacing w:before="120" w:after="120" w:line="288" w:lineRule="auto"/>
        <w:ind w:left="0"/>
      </w:pPr>
      <w:r>
        <w:object>
          <v:shape id="_x0000_i1044" style="width:414pt;height:90pt;mso-width-percent:0;mso-height-percent:0;mso-width-percent:0;mso-height-percent:0" type="#_x0000_t75" o:ole="">
            <v:imagedata r:id="rId47" o:title=""/>
          </v:shape>
          <o:OLEObject DrawAspect="Icon" ObjectID="_1718471238" ProgID="Excel.Sheet.12" ShapeID="_x0000_i1044" Type="Embed" r:id="rId4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计算逻辑：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报废阶段排放 = 各材料重量 × 处理方式排放因子</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4" w:id="24"/>
      <w:r>
        <w:rPr>
          <w:rFonts w:eastAsia="等线" w:ascii="Arial" w:cs="Arial" w:hAnsi="Arial"/>
          <w:b w:val="true"/>
          <w:sz w:val="36"/>
        </w:rPr>
        <w:t>五、把三类数据放到“一辆车”上怎么做？</w:t>
      </w:r>
      <w:bookmarkEnd w:id="24"/>
    </w:p>
    <w:p>
      <w:pPr>
        <w:spacing w:before="120" w:after="120" w:line="288" w:lineRule="auto"/>
        <w:ind w:left="0"/>
        <w:jc w:val="left"/>
      </w:pPr>
      <w:r>
        <w:rPr>
          <w:rFonts w:eastAsia="等线" w:ascii="Arial" w:cs="Arial" w:hAnsi="Arial"/>
          <w:sz w:val="22"/>
        </w:rPr>
        <w:t>建议你这样理解：</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1. </w:t>
      </w:r>
      <w:r>
        <w:rPr>
          <w:rFonts w:eastAsia="等线" w:ascii="Arial" w:cs="Arial" w:hAnsi="Arial"/>
          <w:b w:val="true"/>
          <w:sz w:val="32"/>
        </w:rPr>
        <w:t>Scope 1/2 是“工厂排放”，需要分摊到单车</w:t>
      </w:r>
      <w:bookmarkEnd w:id="25"/>
    </w:p>
    <w:p>
      <w:pPr>
        <w:spacing w:before="120" w:after="120" w:line="288" w:lineRule="auto"/>
        <w:ind w:left="0"/>
        <w:jc w:val="left"/>
      </w:pPr>
      <w:r>
        <w:rPr>
          <w:rFonts w:eastAsia="等线" w:ascii="Arial" w:cs="Arial" w:hAnsi="Arial"/>
          <w:sz w:val="22"/>
        </w:rPr>
        <w:t>比如某工厂一年生产 100,000 辆车：</w:t>
      </w:r>
    </w:p>
    <w:p>
      <w:pPr>
        <w:spacing w:before="120" w:after="120" w:line="288" w:lineRule="auto"/>
        <w:ind w:left="0"/>
      </w:pPr>
      <w:r>
        <w:object>
          <v:shape id="_x0000_i1045" style="width:414pt;height:75pt;mso-width-percent:0;mso-height-percent:0;mso-width-percent:0;mso-height-percent:0" type="#_x0000_t75" o:ole="">
            <v:imagedata r:id="rId49" o:title=""/>
          </v:shape>
          <o:OLEObject DrawAspect="Icon" ObjectID="_1718471239" ProgID="Excel.Sheet.12" ShapeID="_x0000_i1045" Type="Embed" r:id="rId4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粗略单车制造排放：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130,000 tCO₂e ÷ 100,000 辆 = 1.3 tCO₂e / 辆</w:t>
            </w:r>
          </w:p>
        </w:tc>
      </w:tr>
    </w:tbl>
    <w:p>
      <w:pPr>
        <w:spacing w:before="120" w:after="120" w:line="288" w:lineRule="auto"/>
        <w:ind w:left="0"/>
        <w:jc w:val="left"/>
      </w:pPr>
      <w:r>
        <w:rPr>
          <w:rFonts w:eastAsia="等线" w:ascii="Arial" w:cs="Arial" w:hAnsi="Arial"/>
          <w:sz w:val="22"/>
        </w:rPr>
        <w:t>但更专业的做法不是直接平均，而是按车型、工艺、产线分摊。</w:t>
      </w:r>
    </w:p>
    <w:p>
      <w:pPr>
        <w:spacing w:before="120" w:after="120" w:line="288" w:lineRule="auto"/>
        <w:ind w:left="0"/>
        <w:jc w:val="left"/>
      </w:pPr>
      <w:r>
        <w:rPr>
          <w:rFonts w:eastAsia="等线" w:ascii="Arial" w:cs="Arial" w:hAnsi="Arial"/>
          <w:sz w:val="22"/>
        </w:rPr>
        <w:t>比如：</w:t>
      </w:r>
    </w:p>
    <w:p>
      <w:pPr>
        <w:spacing w:before="120" w:after="120" w:line="288" w:lineRule="auto"/>
        <w:ind w:left="0"/>
      </w:pPr>
      <w:r>
        <w:object>
          <v:shape id="_x0000_i1046" style="width:414pt;height:128pt;mso-width-percent:0;mso-height-percent:0;mso-width-percent:0;mso-height-percent:0" type="#_x0000_t75" o:ole="">
            <v:imagedata r:id="rId51" o:title=""/>
          </v:shape>
          <o:OLEObject DrawAspect="Icon" ObjectID="_1718471240" ProgID="Excel.Sheet.12" ShapeID="_x0000_i1046" Type="Embed" r:id="rId50"/>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2. </w:t>
      </w:r>
      <w:r>
        <w:rPr>
          <w:rFonts w:eastAsia="等线" w:ascii="Arial" w:cs="Arial" w:hAnsi="Arial"/>
          <w:b w:val="true"/>
          <w:sz w:val="32"/>
        </w:rPr>
        <w:t>Scope 3 主要按 BOM、物流和生命周期直接算到单车</w:t>
      </w:r>
      <w:bookmarkEnd w:id="26"/>
    </w:p>
    <w:p>
      <w:pPr>
        <w:spacing w:before="120" w:after="120" w:line="288" w:lineRule="auto"/>
        <w:ind w:left="0"/>
        <w:jc w:val="left"/>
      </w:pPr>
      <w:r>
        <w:rPr>
          <w:rFonts w:eastAsia="等线" w:ascii="Arial" w:cs="Arial" w:hAnsi="Arial"/>
          <w:sz w:val="22"/>
        </w:rPr>
        <w:t>对于一辆车，Scope 3 更适合这样算：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单车 Scope 3 = 单车 BOM 材料碳排 + 零部件制造碳排 + 入厂物流 + 废弃物分摊 + 下游物流 + 使用阶段 + 报废阶段</w:t>
            </w:r>
          </w:p>
        </w:tc>
      </w:tr>
    </w:tbl>
    <w:p>
      <w:pPr>
        <w:spacing w:before="120" w:after="120" w:line="288" w:lineRule="auto"/>
        <w:ind w:left="0"/>
        <w:jc w:val="left"/>
      </w:pPr>
      <w:r>
        <w:rPr>
          <w:rFonts w:eastAsia="等线" w:ascii="Arial" w:cs="Arial" w:hAnsi="Arial"/>
          <w:sz w:val="22"/>
        </w:rPr>
        <w:t>其中 BOM 是核心。</w:t>
      </w:r>
    </w:p>
    <w:p>
      <w:pPr>
        <w:spacing w:before="120" w:after="120" w:line="288" w:lineRule="auto"/>
        <w:ind w:left="0"/>
        <w:jc w:val="left"/>
      </w:pPr>
      <w:r>
        <w:rPr>
          <w:rFonts w:eastAsia="等线" w:ascii="Arial" w:cs="Arial" w:hAnsi="Arial"/>
          <w:sz w:val="22"/>
        </w:rPr>
        <w:t>举个简化结构：</w:t>
      </w:r>
    </w:p>
    <w:p>
      <w:pPr>
        <w:spacing w:before="120" w:after="120" w:line="288" w:lineRule="auto"/>
        <w:ind w:left="0"/>
      </w:pPr>
      <w:r>
        <w:object>
          <v:shape id="_x0000_i1047" style="width:414pt;height:182pt;mso-width-percent:0;mso-height-percent:0;mso-width-percent:0;mso-height-percent:0" type="#_x0000_t75" o:ole="">
            <v:imagedata r:id="rId53" o:title=""/>
          </v:shape>
          <o:OLEObject DrawAspect="Icon" ObjectID="_1718471241" ProgID="Excel.Sheet.12" ShapeID="_x0000_i1047" Type="Embed" r:id="rId52"/>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7" w:id="27"/>
      <w:r>
        <w:rPr>
          <w:rFonts w:eastAsia="等线" w:ascii="Arial" w:cs="Arial" w:hAnsi="Arial"/>
          <w:b w:val="true"/>
          <w:sz w:val="36"/>
        </w:rPr>
        <w:t>六、三者之间有哪些互相影响的数据？</w:t>
      </w:r>
      <w:bookmarkEnd w:id="27"/>
    </w:p>
    <w:p>
      <w:pPr>
        <w:spacing w:before="120" w:after="120" w:line="288" w:lineRule="auto"/>
        <w:ind w:left="0"/>
        <w:jc w:val="left"/>
      </w:pPr>
      <w:r>
        <w:rPr>
          <w:rFonts w:eastAsia="等线" w:ascii="Arial" w:cs="Arial" w:hAnsi="Arial"/>
          <w:sz w:val="22"/>
        </w:rPr>
        <w:t>这是做系统和做核查时最关键的部分。</w:t>
      </w: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1. </w:t>
      </w:r>
      <w:r>
        <w:rPr>
          <w:rFonts w:eastAsia="等线" w:ascii="Arial" w:cs="Arial" w:hAnsi="Arial"/>
          <w:b w:val="true"/>
          <w:sz w:val="32"/>
        </w:rPr>
        <w:t>Scope 1/2 能源数据会影响 Scope 3 Category 3</w:t>
      </w:r>
      <w:bookmarkEnd w:id="28"/>
    </w:p>
    <w:p>
      <w:pPr>
        <w:spacing w:before="120" w:after="120" w:line="288" w:lineRule="auto"/>
        <w:ind w:left="0"/>
        <w:jc w:val="left"/>
      </w:pPr>
      <w:r>
        <w:rPr>
          <w:rFonts w:eastAsia="等线" w:ascii="Arial" w:cs="Arial" w:hAnsi="Arial"/>
          <w:sz w:val="22"/>
        </w:rPr>
        <w:t>例如：</w:t>
      </w:r>
    </w:p>
    <w:p>
      <w:pPr>
        <w:numPr>
          <w:numId w:val="75"/>
        </w:numPr>
        <w:spacing w:before="120" w:after="120" w:line="288" w:lineRule="auto"/>
        <w:ind w:left="0"/>
        <w:jc w:val="left"/>
      </w:pPr>
      <w:r>
        <w:rPr>
          <w:rFonts w:eastAsia="等线" w:ascii="Arial" w:cs="Arial" w:hAnsi="Arial"/>
          <w:sz w:val="22"/>
        </w:rPr>
        <w:t>Scope 1 里用了多少天然气</w:t>
      </w:r>
    </w:p>
    <w:p>
      <w:pPr>
        <w:numPr>
          <w:numId w:val="76"/>
        </w:numPr>
        <w:spacing w:before="120" w:after="120" w:line="288" w:lineRule="auto"/>
        <w:ind w:left="0"/>
        <w:jc w:val="left"/>
      </w:pPr>
      <w:r>
        <w:rPr>
          <w:rFonts w:eastAsia="等线" w:ascii="Arial" w:cs="Arial" w:hAnsi="Arial"/>
          <w:sz w:val="22"/>
        </w:rPr>
        <w:t>Scope 2 里用了多少电</w:t>
      </w:r>
    </w:p>
    <w:p>
      <w:pPr>
        <w:numPr>
          <w:numId w:val="77"/>
        </w:numPr>
        <w:spacing w:before="120" w:after="120" w:line="288" w:lineRule="auto"/>
        <w:ind w:left="0"/>
        <w:jc w:val="left"/>
      </w:pPr>
      <w:r>
        <w:rPr>
          <w:rFonts w:eastAsia="等线" w:ascii="Arial" w:cs="Arial" w:hAnsi="Arial"/>
          <w:sz w:val="22"/>
        </w:rPr>
        <w:t>这些数据还要用于计算 Scope 3 中的“燃料和能源相关活动”</w:t>
      </w:r>
    </w:p>
    <w:p>
      <w:pPr>
        <w:spacing w:before="120" w:after="120" w:line="288" w:lineRule="auto"/>
        <w:ind w:left="0"/>
        <w:jc w:val="left"/>
      </w:pPr>
      <w:r>
        <w:rPr>
          <w:rFonts w:eastAsia="等线" w:ascii="Arial" w:cs="Arial" w:hAnsi="Arial"/>
          <w:sz w:val="22"/>
        </w:rPr>
        <w:t>所以能源数据不能只服务 Scope 1/2，还要被 Scope 3 复用。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2. </w:t>
      </w:r>
      <w:r>
        <w:rPr>
          <w:rFonts w:eastAsia="等线" w:ascii="Arial" w:cs="Arial" w:hAnsi="Arial"/>
          <w:b w:val="true"/>
          <w:sz w:val="32"/>
        </w:rPr>
        <w:t>产量会影响单车排放强度</w:t>
      </w:r>
      <w:bookmarkEnd w:id="29"/>
    </w:p>
    <w:p>
      <w:pPr>
        <w:spacing w:before="120" w:after="120" w:line="288" w:lineRule="auto"/>
        <w:ind w:left="0"/>
        <w:jc w:val="left"/>
      </w:pPr>
      <w:r>
        <w:rPr>
          <w:rFonts w:eastAsia="等线" w:ascii="Arial" w:cs="Arial" w:hAnsi="Arial"/>
          <w:sz w:val="22"/>
        </w:rPr>
        <w:t>同一个工厂：</w:t>
      </w:r>
    </w:p>
    <w:p>
      <w:pPr>
        <w:numPr>
          <w:numId w:val="78"/>
        </w:numPr>
        <w:spacing w:before="120" w:after="120" w:line="288" w:lineRule="auto"/>
        <w:ind w:left="0"/>
        <w:jc w:val="left"/>
      </w:pPr>
      <w:r>
        <w:rPr>
          <w:rFonts w:eastAsia="等线" w:ascii="Arial" w:cs="Arial" w:hAnsi="Arial"/>
          <w:sz w:val="22"/>
        </w:rPr>
        <w:t>年产 50,000 辆</w:t>
      </w:r>
    </w:p>
    <w:p>
      <w:pPr>
        <w:numPr>
          <w:numId w:val="79"/>
        </w:numPr>
        <w:spacing w:before="120" w:after="120" w:line="288" w:lineRule="auto"/>
        <w:ind w:left="0"/>
        <w:jc w:val="left"/>
      </w:pPr>
      <w:r>
        <w:rPr>
          <w:rFonts w:eastAsia="等线" w:ascii="Arial" w:cs="Arial" w:hAnsi="Arial"/>
          <w:sz w:val="22"/>
        </w:rPr>
        <w:t>年产 100,000 辆</w:t>
      </w:r>
    </w:p>
    <w:p>
      <w:pPr>
        <w:spacing w:before="120" w:after="120" w:line="288" w:lineRule="auto"/>
        <w:ind w:left="0"/>
        <w:jc w:val="left"/>
      </w:pPr>
      <w:r>
        <w:rPr>
          <w:rFonts w:eastAsia="等线" w:ascii="Arial" w:cs="Arial" w:hAnsi="Arial"/>
          <w:sz w:val="22"/>
        </w:rPr>
        <w:t>即使固定能耗差不多，单车分摊结果会完全不同。</w:t>
      </w:r>
    </w:p>
    <w:p>
      <w:pPr>
        <w:spacing w:before="120" w:after="120" w:line="288" w:lineRule="auto"/>
        <w:ind w:left="0"/>
        <w:jc w:val="left"/>
      </w:pPr>
      <w:r>
        <w:rPr>
          <w:rFonts w:eastAsia="等线" w:ascii="Arial" w:cs="Arial" w:hAnsi="Arial"/>
          <w:sz w:val="22"/>
        </w:rPr>
        <w:t>所以需要记录：</w:t>
      </w:r>
    </w:p>
    <w:p>
      <w:pPr>
        <w:numPr>
          <w:numId w:val="80"/>
        </w:numPr>
        <w:spacing w:before="120" w:after="120" w:line="288" w:lineRule="auto"/>
        <w:ind w:left="0"/>
        <w:jc w:val="left"/>
      </w:pPr>
      <w:r>
        <w:rPr>
          <w:rFonts w:eastAsia="等线" w:ascii="Arial" w:cs="Arial" w:hAnsi="Arial"/>
          <w:sz w:val="22"/>
        </w:rPr>
        <w:t>年产量</w:t>
      </w:r>
    </w:p>
    <w:p>
      <w:pPr>
        <w:numPr>
          <w:numId w:val="81"/>
        </w:numPr>
        <w:spacing w:before="120" w:after="120" w:line="288" w:lineRule="auto"/>
        <w:ind w:left="0"/>
        <w:jc w:val="left"/>
      </w:pPr>
      <w:r>
        <w:rPr>
          <w:rFonts w:eastAsia="等线" w:ascii="Arial" w:cs="Arial" w:hAnsi="Arial"/>
          <w:sz w:val="22"/>
        </w:rPr>
        <w:t>各车型产量</w:t>
      </w:r>
    </w:p>
    <w:p>
      <w:pPr>
        <w:numPr>
          <w:numId w:val="82"/>
        </w:numPr>
        <w:spacing w:before="120" w:after="120" w:line="288" w:lineRule="auto"/>
        <w:ind w:left="0"/>
        <w:jc w:val="left"/>
      </w:pPr>
      <w:r>
        <w:rPr>
          <w:rFonts w:eastAsia="等线" w:ascii="Arial" w:cs="Arial" w:hAnsi="Arial"/>
          <w:sz w:val="22"/>
        </w:rPr>
        <w:t>良品数</w:t>
      </w:r>
    </w:p>
    <w:p>
      <w:pPr>
        <w:numPr>
          <w:numId w:val="83"/>
        </w:numPr>
        <w:spacing w:before="120" w:after="120" w:line="288" w:lineRule="auto"/>
        <w:ind w:left="0"/>
        <w:jc w:val="left"/>
      </w:pPr>
      <w:r>
        <w:rPr>
          <w:rFonts w:eastAsia="等线" w:ascii="Arial" w:cs="Arial" w:hAnsi="Arial"/>
          <w:sz w:val="22"/>
        </w:rPr>
        <w:t>返修数</w:t>
      </w:r>
    </w:p>
    <w:p>
      <w:pPr>
        <w:numPr>
          <w:numId w:val="84"/>
        </w:numPr>
        <w:spacing w:before="120" w:after="120" w:line="288" w:lineRule="auto"/>
        <w:ind w:left="0"/>
        <w:jc w:val="left"/>
      </w:pPr>
      <w:r>
        <w:rPr>
          <w:rFonts w:eastAsia="等线" w:ascii="Arial" w:cs="Arial" w:hAnsi="Arial"/>
          <w:sz w:val="22"/>
        </w:rPr>
        <w:t>报废数</w:t>
      </w:r>
    </w:p>
    <w:p>
      <w:pPr>
        <w:numPr>
          <w:numId w:val="85"/>
        </w:numPr>
        <w:spacing w:before="120" w:after="120" w:line="288" w:lineRule="auto"/>
        <w:ind w:left="0"/>
        <w:jc w:val="left"/>
      </w:pPr>
      <w:r>
        <w:rPr>
          <w:rFonts w:eastAsia="等线" w:ascii="Arial" w:cs="Arial" w:hAnsi="Arial"/>
          <w:sz w:val="22"/>
        </w:rPr>
        <w:t>生产小时</w:t>
      </w:r>
    </w:p>
    <w:p>
      <w:pPr>
        <w:numPr>
          <w:numId w:val="86"/>
        </w:numPr>
        <w:spacing w:before="120" w:after="120" w:line="288" w:lineRule="auto"/>
        <w:ind w:left="0"/>
        <w:jc w:val="left"/>
      </w:pPr>
      <w:r>
        <w:rPr>
          <w:rFonts w:eastAsia="等线" w:ascii="Arial" w:cs="Arial" w:hAnsi="Arial"/>
          <w:sz w:val="22"/>
        </w:rPr>
        <w:t>停线时间</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3. </w:t>
      </w:r>
      <w:r>
        <w:rPr>
          <w:rFonts w:eastAsia="等线" w:ascii="Arial" w:cs="Arial" w:hAnsi="Arial"/>
          <w:b w:val="true"/>
          <w:sz w:val="32"/>
        </w:rPr>
        <w:t>BOM 会同时影响 Scope 3、废弃物、物流和报废</w:t>
      </w:r>
      <w:bookmarkEnd w:id="30"/>
    </w:p>
    <w:p>
      <w:pPr>
        <w:spacing w:before="120" w:after="120" w:line="288" w:lineRule="auto"/>
        <w:ind w:left="0"/>
        <w:jc w:val="left"/>
      </w:pPr>
      <w:r>
        <w:rPr>
          <w:rFonts w:eastAsia="等线" w:ascii="Arial" w:cs="Arial" w:hAnsi="Arial"/>
          <w:sz w:val="22"/>
        </w:rPr>
        <w:t>比如一辆车铝材增加：</w:t>
      </w:r>
    </w:p>
    <w:p>
      <w:pPr>
        <w:spacing w:before="120" w:after="120" w:line="288" w:lineRule="auto"/>
        <w:ind w:left="0"/>
      </w:pPr>
      <w:r>
        <w:object>
          <v:shape id="_x0000_i1048" style="width:414pt;height:109pt;mso-width-percent:0;mso-height-percent:0;mso-width-percent:0;mso-height-percent:0" type="#_x0000_t75" o:ole="">
            <v:imagedata r:id="rId55" o:title=""/>
          </v:shape>
          <o:OLEObject DrawAspect="Icon" ObjectID="_1718471242" ProgID="Excel.Sheet.12" ShapeID="_x0000_i1048" Type="Embed" r:id="rId5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所以材料替换不能只看制造阶段，也要看使用阶段。</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4. </w:t>
      </w:r>
      <w:r>
        <w:rPr>
          <w:rFonts w:eastAsia="等线" w:ascii="Arial" w:cs="Arial" w:hAnsi="Arial"/>
          <w:b w:val="true"/>
          <w:sz w:val="32"/>
        </w:rPr>
        <w:t>外包会改变 Scope 归属，但不会让排放消失</w:t>
      </w:r>
      <w:bookmarkEnd w:id="31"/>
    </w:p>
    <w:p>
      <w:pPr>
        <w:spacing w:before="120" w:after="120" w:line="288" w:lineRule="auto"/>
        <w:ind w:left="0"/>
        <w:jc w:val="left"/>
      </w:pPr>
      <w:r>
        <w:rPr>
          <w:rFonts w:eastAsia="等线" w:ascii="Arial" w:cs="Arial" w:hAnsi="Arial"/>
          <w:sz w:val="22"/>
        </w:rPr>
        <w:t>比如 Magna 原来自己做涂装：</w:t>
      </w:r>
    </w:p>
    <w:p>
      <w:pPr>
        <w:numPr>
          <w:numId w:val="87"/>
        </w:numPr>
        <w:spacing w:before="120" w:after="120" w:line="288" w:lineRule="auto"/>
        <w:ind w:left="0"/>
        <w:jc w:val="left"/>
      </w:pPr>
      <w:r>
        <w:rPr>
          <w:rFonts w:eastAsia="等线" w:ascii="Arial" w:cs="Arial" w:hAnsi="Arial"/>
          <w:sz w:val="22"/>
        </w:rPr>
        <w:t>天然气是 Scope 1</w:t>
      </w:r>
    </w:p>
    <w:p>
      <w:pPr>
        <w:numPr>
          <w:numId w:val="88"/>
        </w:numPr>
        <w:spacing w:before="120" w:after="120" w:line="288" w:lineRule="auto"/>
        <w:ind w:left="0"/>
        <w:jc w:val="left"/>
      </w:pPr>
      <w:r>
        <w:rPr>
          <w:rFonts w:eastAsia="等线" w:ascii="Arial" w:cs="Arial" w:hAnsi="Arial"/>
          <w:sz w:val="22"/>
        </w:rPr>
        <w:t>电力是 Scope 2</w:t>
      </w:r>
    </w:p>
    <w:p>
      <w:pPr>
        <w:spacing w:before="120" w:after="120" w:line="288" w:lineRule="auto"/>
        <w:ind w:left="0"/>
        <w:jc w:val="left"/>
      </w:pPr>
      <w:r>
        <w:rPr>
          <w:rFonts w:eastAsia="等线" w:ascii="Arial" w:cs="Arial" w:hAnsi="Arial"/>
          <w:sz w:val="22"/>
        </w:rPr>
        <w:t>后来涂装外包给供应商：</w:t>
      </w:r>
    </w:p>
    <w:p>
      <w:pPr>
        <w:numPr>
          <w:numId w:val="89"/>
        </w:numPr>
        <w:spacing w:before="120" w:after="120" w:line="288" w:lineRule="auto"/>
        <w:ind w:left="0"/>
        <w:jc w:val="left"/>
      </w:pPr>
      <w:r>
        <w:rPr>
          <w:rFonts w:eastAsia="等线" w:ascii="Arial" w:cs="Arial" w:hAnsi="Arial"/>
          <w:sz w:val="22"/>
        </w:rPr>
        <w:t>Magna 自己的 Scope 1/2 下降</w:t>
      </w:r>
    </w:p>
    <w:p>
      <w:pPr>
        <w:numPr>
          <w:numId w:val="90"/>
        </w:numPr>
        <w:spacing w:before="120" w:after="120" w:line="288" w:lineRule="auto"/>
        <w:ind w:left="0"/>
        <w:jc w:val="left"/>
      </w:pPr>
      <w:r>
        <w:rPr>
          <w:rFonts w:eastAsia="等线" w:ascii="Arial" w:cs="Arial" w:hAnsi="Arial"/>
          <w:sz w:val="22"/>
        </w:rPr>
        <w:t>但 Scope 3 Category 1 或外包加工服务上升</w:t>
      </w:r>
    </w:p>
    <w:p>
      <w:pPr>
        <w:spacing w:before="120" w:after="120" w:line="288" w:lineRule="auto"/>
        <w:ind w:left="0"/>
        <w:jc w:val="left"/>
      </w:pPr>
      <w:r>
        <w:rPr>
          <w:rFonts w:eastAsia="等线" w:ascii="Arial" w:cs="Arial" w:hAnsi="Arial"/>
          <w:sz w:val="22"/>
        </w:rPr>
        <w:t>所以如果只看 Scope 1/2，可能会误以为企业减排了；但从全价值链看，只是排放转移了。</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5. </w:t>
      </w:r>
      <w:r>
        <w:rPr>
          <w:rFonts w:eastAsia="等线" w:ascii="Arial" w:cs="Arial" w:hAnsi="Arial"/>
          <w:b w:val="true"/>
          <w:sz w:val="32"/>
        </w:rPr>
        <w:t>绿电会影响 Scope 2 市场法结果，但不一定改变地点法结果</w:t>
      </w:r>
      <w:bookmarkEnd w:id="32"/>
    </w:p>
    <w:p>
      <w:pPr>
        <w:spacing w:before="120" w:after="120" w:line="288" w:lineRule="auto"/>
        <w:ind w:left="0"/>
        <w:jc w:val="left"/>
      </w:pPr>
      <w:r>
        <w:rPr>
          <w:rFonts w:eastAsia="等线" w:ascii="Arial" w:cs="Arial" w:hAnsi="Arial"/>
          <w:sz w:val="22"/>
        </w:rPr>
        <w:t>如果 Magna 购买绿电或绿证：</w:t>
      </w:r>
    </w:p>
    <w:p>
      <w:pPr>
        <w:numPr>
          <w:numId w:val="91"/>
        </w:numPr>
        <w:spacing w:before="120" w:after="120" w:line="288" w:lineRule="auto"/>
        <w:ind w:left="0"/>
        <w:jc w:val="left"/>
      </w:pPr>
      <w:r>
        <w:rPr>
          <w:rFonts w:eastAsia="等线" w:ascii="Arial" w:cs="Arial" w:hAnsi="Arial"/>
          <w:sz w:val="22"/>
        </w:rPr>
        <w:t>Scope 2 market-based 可能下降</w:t>
      </w:r>
    </w:p>
    <w:p>
      <w:pPr>
        <w:numPr>
          <w:numId w:val="92"/>
        </w:numPr>
        <w:spacing w:before="120" w:after="120" w:line="288" w:lineRule="auto"/>
        <w:ind w:left="0"/>
        <w:jc w:val="left"/>
      </w:pPr>
      <w:r>
        <w:rPr>
          <w:rFonts w:eastAsia="等线" w:ascii="Arial" w:cs="Arial" w:hAnsi="Arial"/>
          <w:sz w:val="22"/>
        </w:rPr>
        <w:t>Scope 2 location-based 仍按区域电网平均因子计算</w:t>
      </w:r>
    </w:p>
    <w:p>
      <w:pPr>
        <w:numPr>
          <w:numId w:val="93"/>
        </w:numPr>
        <w:spacing w:before="120" w:after="120" w:line="288" w:lineRule="auto"/>
        <w:ind w:left="0"/>
        <w:jc w:val="left"/>
      </w:pPr>
      <w:r>
        <w:rPr>
          <w:rFonts w:eastAsia="等线" w:ascii="Arial" w:cs="Arial" w:hAnsi="Arial"/>
          <w:sz w:val="22"/>
        </w:rPr>
        <w:t>产品碳足迹声明中还要注意绿电证书是否符合质量标准、是否重复声明</w:t>
      </w:r>
    </w:p>
    <w:p>
      <w:pPr>
        <w:spacing w:before="120" w:after="120" w:line="288" w:lineRule="auto"/>
        <w:ind w:left="0"/>
        <w:jc w:val="left"/>
      </w:pPr>
      <w:r>
        <w:rPr>
          <w:rFonts w:eastAsia="等线" w:ascii="Arial" w:cs="Arial" w:hAnsi="Arial"/>
          <w:sz w:val="22"/>
        </w:rPr>
        <w:t>GHG Protocol Scope 2 Guidance 对能源合同工具和可再生能源证书提出了市场法相关要求和质量标准。(GHG Protocol)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6. </w:t>
      </w:r>
      <w:r>
        <w:rPr>
          <w:rFonts w:eastAsia="等线" w:ascii="Arial" w:cs="Arial" w:hAnsi="Arial"/>
          <w:b w:val="true"/>
          <w:sz w:val="32"/>
        </w:rPr>
        <w:t>组织边界会改变 Scope 分类</w:t>
      </w:r>
      <w:bookmarkEnd w:id="33"/>
    </w:p>
    <w:p>
      <w:pPr>
        <w:spacing w:before="120" w:after="120" w:line="288" w:lineRule="auto"/>
        <w:ind w:left="0"/>
        <w:jc w:val="left"/>
      </w:pPr>
      <w:r>
        <w:rPr>
          <w:rFonts w:eastAsia="等线" w:ascii="Arial" w:cs="Arial" w:hAnsi="Arial"/>
          <w:sz w:val="22"/>
        </w:rPr>
        <w:t>比如叉车：</w:t>
      </w:r>
    </w:p>
    <w:p>
      <w:pPr>
        <w:spacing w:before="120" w:after="120" w:line="288" w:lineRule="auto"/>
        <w:ind w:left="0"/>
      </w:pPr>
      <w:r>
        <w:object>
          <v:shape id="_x0000_i1049" style="width:414pt;height:109pt;mso-width-percent:0;mso-height-percent:0;mso-width-percent:0;mso-height-percent:0" type="#_x0000_t75" o:ole="">
            <v:imagedata r:id="rId57" o:title=""/>
          </v:shape>
          <o:OLEObject DrawAspect="Icon" ObjectID="_1718471243" ProgID="Excel.Sheet.12" ShapeID="_x0000_i1049" Type="Embed" r:id="rId5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所以核算前必须先定组织边界：股权控制法、财务控制法，还是运营控制法。</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4" w:id="34"/>
      <w:r>
        <w:rPr>
          <w:rFonts w:eastAsia="等线" w:ascii="Arial" w:cs="Arial" w:hAnsi="Arial"/>
          <w:b w:val="true"/>
          <w:sz w:val="36"/>
        </w:rPr>
        <w:t>七、从产品经理/系统设计角度，应该怎么建数据模型？</w:t>
      </w:r>
      <w:bookmarkEnd w:id="34"/>
    </w:p>
    <w:p>
      <w:pPr>
        <w:spacing w:before="120" w:after="120" w:line="288" w:lineRule="auto"/>
        <w:ind w:left="0"/>
        <w:jc w:val="left"/>
      </w:pPr>
      <w:r>
        <w:rPr>
          <w:rFonts w:eastAsia="等线" w:ascii="Arial" w:cs="Arial" w:hAnsi="Arial"/>
          <w:sz w:val="22"/>
        </w:rPr>
        <w:t>如果你要做一个碳核算系统，我会建议核心数据表这样设计。</w:t>
      </w:r>
    </w:p>
    <w:p>
      <w:pPr>
        <w:pStyle w:val="2"/>
        <w:spacing w:before="320" w:after="120" w:line="288" w:lineRule="auto"/>
        <w:ind w:left="0"/>
        <w:jc w:val="left"/>
        <w:outlineLvl w:val="1"/>
      </w:pPr>
      <w:bookmarkStart w:name="heading_35" w:id="35"/>
      <w:r>
        <w:rPr>
          <w:rFonts w:eastAsia="等线" w:ascii="Arial" w:cs="Arial" w:hAnsi="Arial"/>
          <w:color w:val="3370ff"/>
          <w:sz w:val="32"/>
        </w:rPr>
        <w:t xml:space="preserve">1. </w:t>
      </w:r>
      <w:r>
        <w:rPr>
          <w:rFonts w:eastAsia="等线" w:ascii="Arial" w:cs="Arial" w:hAnsi="Arial"/>
          <w:b w:val="true"/>
          <w:sz w:val="32"/>
        </w:rPr>
        <w:t>组织与边界表</w:t>
      </w:r>
      <w:bookmarkEnd w:id="35"/>
    </w:p>
    <w:p>
      <w:pPr>
        <w:spacing w:before="120" w:after="120" w:line="288" w:lineRule="auto"/>
        <w:ind w:left="0"/>
      </w:pPr>
      <w:r>
        <w:object>
          <v:shape id="_x0000_i1050" style="width:414pt;height:128pt;mso-width-percent:0;mso-height-percent:0;mso-width-percent:0;mso-height-percent:0" type="#_x0000_t75" o:ole="">
            <v:imagedata r:id="rId59" o:title=""/>
          </v:shape>
          <o:OLEObject DrawAspect="Icon" ObjectID="_1718471244" ProgID="Excel.Sheet.12" ShapeID="_x0000_i1050" Type="Embed" r:id="rId58"/>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2. </w:t>
      </w:r>
      <w:r>
        <w:rPr>
          <w:rFonts w:eastAsia="等线" w:ascii="Arial" w:cs="Arial" w:hAnsi="Arial"/>
          <w:b w:val="true"/>
          <w:sz w:val="32"/>
        </w:rPr>
        <w:t>排放源表</w:t>
      </w:r>
      <w:bookmarkEnd w:id="36"/>
    </w:p>
    <w:p>
      <w:pPr>
        <w:spacing w:before="120" w:after="120" w:line="288" w:lineRule="auto"/>
        <w:ind w:left="0"/>
      </w:pPr>
      <w:r>
        <w:object>
          <v:shape id="_x0000_i1051" style="width:414pt;height:147pt;mso-width-percent:0;mso-height-percent:0;mso-width-percent:0;mso-height-percent:0" type="#_x0000_t75" o:ole="">
            <v:imagedata r:id="rId61" o:title=""/>
          </v:shape>
          <o:OLEObject DrawAspect="Icon" ObjectID="_1718471245" ProgID="Excel.Sheet.12" ShapeID="_x0000_i1051" Type="Embed" r:id="rId60"/>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3. </w:t>
      </w:r>
      <w:r>
        <w:rPr>
          <w:rFonts w:eastAsia="等线" w:ascii="Arial" w:cs="Arial" w:hAnsi="Arial"/>
          <w:b w:val="true"/>
          <w:sz w:val="32"/>
        </w:rPr>
        <w:t>活动数据表</w:t>
      </w:r>
      <w:bookmarkEnd w:id="37"/>
    </w:p>
    <w:p>
      <w:pPr>
        <w:spacing w:before="120" w:after="120" w:line="288" w:lineRule="auto"/>
        <w:ind w:left="0"/>
      </w:pPr>
      <w:r>
        <w:object>
          <v:shape id="_x0000_i1052" style="width:414pt;height:163pt;mso-width-percent:0;mso-height-percent:0;mso-width-percent:0;mso-height-percent:0" type="#_x0000_t75" o:ole="">
            <v:imagedata r:id="rId63" o:title=""/>
          </v:shape>
          <o:OLEObject DrawAspect="Icon" ObjectID="_1718471246" ProgID="Excel.Sheet.12" ShapeID="_x0000_i1052" Type="Embed" r:id="rId62"/>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4. </w:t>
      </w:r>
      <w:r>
        <w:rPr>
          <w:rFonts w:eastAsia="等线" w:ascii="Arial" w:cs="Arial" w:hAnsi="Arial"/>
          <w:b w:val="true"/>
          <w:sz w:val="32"/>
        </w:rPr>
        <w:t>排放因子表</w:t>
      </w:r>
      <w:bookmarkEnd w:id="38"/>
    </w:p>
    <w:p>
      <w:pPr>
        <w:spacing w:before="120" w:after="120" w:line="288" w:lineRule="auto"/>
        <w:ind w:left="0"/>
      </w:pPr>
      <w:r>
        <w:object>
          <v:shape id="_x0000_i1053" style="width:414pt;height:163pt;mso-width-percent:0;mso-height-percent:0;mso-width-percent:0;mso-height-percent:0" type="#_x0000_t75" o:ole="">
            <v:imagedata r:id="rId65" o:title=""/>
          </v:shape>
          <o:OLEObject DrawAspect="Icon" ObjectID="_1718471247" ProgID="Excel.Sheet.12" ShapeID="_x0000_i1053" Type="Embed" r:id="rId64"/>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5. </w:t>
      </w:r>
      <w:r>
        <w:rPr>
          <w:rFonts w:eastAsia="等线" w:ascii="Arial" w:cs="Arial" w:hAnsi="Arial"/>
          <w:b w:val="true"/>
          <w:sz w:val="32"/>
        </w:rPr>
        <w:t>产品/BOM 表</w:t>
      </w:r>
      <w:bookmarkEnd w:id="39"/>
    </w:p>
    <w:p>
      <w:pPr>
        <w:spacing w:before="120" w:after="120" w:line="288" w:lineRule="auto"/>
        <w:ind w:left="0"/>
      </w:pPr>
      <w:r>
        <w:object>
          <v:shape id="_x0000_i1054" style="width:414pt;height:163pt;mso-width-percent:0;mso-height-percent:0;mso-width-percent:0;mso-height-percent:0" type="#_x0000_t75" o:ole="">
            <v:imagedata r:id="rId67" o:title=""/>
          </v:shape>
          <o:OLEObject DrawAspect="Icon" ObjectID="_1718471248" ProgID="Excel.Sheet.12" ShapeID="_x0000_i1054" Type="Embed" r:id="rId66"/>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6. </w:t>
      </w:r>
      <w:r>
        <w:rPr>
          <w:rFonts w:eastAsia="等线" w:ascii="Arial" w:cs="Arial" w:hAnsi="Arial"/>
          <w:b w:val="true"/>
          <w:sz w:val="32"/>
        </w:rPr>
        <w:t>分摊规则表</w:t>
      </w:r>
      <w:bookmarkEnd w:id="40"/>
    </w:p>
    <w:p>
      <w:pPr>
        <w:spacing w:before="120" w:after="120" w:line="288" w:lineRule="auto"/>
        <w:ind w:left="0"/>
      </w:pPr>
      <w:r>
        <w:object>
          <v:shape id="_x0000_i1055" style="width:414pt;height:128pt;mso-width-percent:0;mso-height-percent:0;mso-width-percent:0;mso-height-percent:0" type="#_x0000_t75" o:ole="">
            <v:imagedata r:id="rId69" o:title=""/>
          </v:shape>
          <o:OLEObject DrawAspect="Icon" ObjectID="_1718471249" ProgID="Excel.Sheet.12" ShapeID="_x0000_i1055" Type="Embed" r:id="rId68"/>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1" w:id="41"/>
      <w:r>
        <w:rPr>
          <w:rFonts w:eastAsia="等线" w:ascii="Arial" w:cs="Arial" w:hAnsi="Arial"/>
          <w:b w:val="true"/>
          <w:sz w:val="36"/>
        </w:rPr>
        <w:t>八、最终你应该怎么理解 Scope 1/2/3？</w:t>
      </w:r>
      <w:bookmarkEnd w:id="41"/>
    </w:p>
    <w:p>
      <w:pPr>
        <w:spacing w:before="120" w:after="120" w:line="288" w:lineRule="auto"/>
        <w:ind w:left="0"/>
        <w:jc w:val="left"/>
      </w:pPr>
      <w:r>
        <w:rPr>
          <w:rFonts w:eastAsia="等线" w:ascii="Arial" w:cs="Arial" w:hAnsi="Arial"/>
          <w:sz w:val="22"/>
        </w:rPr>
        <w:t>用 Magna 生产一辆车来总结：</w:t>
      </w:r>
    </w:p>
    <w:p>
      <w:pPr>
        <w:pStyle w:val="2"/>
        <w:spacing w:before="320" w:after="120" w:line="288" w:lineRule="auto"/>
        <w:ind w:left="0"/>
        <w:jc w:val="left"/>
        <w:outlineLvl w:val="1"/>
      </w:pPr>
      <w:bookmarkStart w:name="heading_42" w:id="42"/>
      <w:r>
        <w:rPr>
          <w:rFonts w:eastAsia="等线" w:ascii="Arial" w:cs="Arial" w:hAnsi="Arial"/>
          <w:b w:val="true"/>
          <w:sz w:val="32"/>
        </w:rPr>
        <w:t>Scope 1</w:t>
      </w:r>
      <w:bookmarkEnd w:id="4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Magna 工厂自己烧掉的燃料、自己设备泄漏的制冷剂、自己车辆消耗的燃料。</w:t>
            </w:r>
          </w:p>
        </w:tc>
      </w:tr>
    </w:tbl>
    <w:p>
      <w:pPr>
        <w:spacing w:before="120" w:after="120" w:line="288" w:lineRule="auto"/>
        <w:ind w:left="0"/>
        <w:jc w:val="left"/>
      </w:pPr>
      <w:r>
        <w:rPr>
          <w:rFonts w:eastAsia="等线" w:ascii="Arial" w:cs="Arial" w:hAnsi="Arial"/>
          <w:sz w:val="22"/>
        </w:rPr>
        <w:t>核心数据：</w:t>
      </w:r>
    </w:p>
    <w:p>
      <w:pPr>
        <w:numPr>
          <w:numId w:val="94"/>
        </w:numPr>
        <w:spacing w:before="120" w:after="120" w:line="288" w:lineRule="auto"/>
        <w:ind w:left="0"/>
        <w:jc w:val="left"/>
      </w:pPr>
      <w:r>
        <w:rPr>
          <w:rFonts w:eastAsia="等线" w:ascii="Arial" w:cs="Arial" w:hAnsi="Arial"/>
          <w:sz w:val="22"/>
        </w:rPr>
        <w:t>天然气</w:t>
      </w:r>
    </w:p>
    <w:p>
      <w:pPr>
        <w:numPr>
          <w:numId w:val="95"/>
        </w:numPr>
        <w:spacing w:before="120" w:after="120" w:line="288" w:lineRule="auto"/>
        <w:ind w:left="0"/>
        <w:jc w:val="left"/>
      </w:pPr>
      <w:r>
        <w:rPr>
          <w:rFonts w:eastAsia="等线" w:ascii="Arial" w:cs="Arial" w:hAnsi="Arial"/>
          <w:sz w:val="22"/>
        </w:rPr>
        <w:t>柴油</w:t>
      </w:r>
    </w:p>
    <w:p>
      <w:pPr>
        <w:numPr>
          <w:numId w:val="96"/>
        </w:numPr>
        <w:spacing w:before="120" w:after="120" w:line="288" w:lineRule="auto"/>
        <w:ind w:left="0"/>
        <w:jc w:val="left"/>
      </w:pPr>
      <w:r>
        <w:rPr>
          <w:rFonts w:eastAsia="等线" w:ascii="Arial" w:cs="Arial" w:hAnsi="Arial"/>
          <w:sz w:val="22"/>
        </w:rPr>
        <w:t>LPG</w:t>
      </w:r>
    </w:p>
    <w:p>
      <w:pPr>
        <w:numPr>
          <w:numId w:val="97"/>
        </w:numPr>
        <w:spacing w:before="120" w:after="120" w:line="288" w:lineRule="auto"/>
        <w:ind w:left="0"/>
        <w:jc w:val="left"/>
      </w:pPr>
      <w:r>
        <w:rPr>
          <w:rFonts w:eastAsia="等线" w:ascii="Arial" w:cs="Arial" w:hAnsi="Arial"/>
          <w:sz w:val="22"/>
        </w:rPr>
        <w:t>汽油</w:t>
      </w:r>
    </w:p>
    <w:p>
      <w:pPr>
        <w:numPr>
          <w:numId w:val="98"/>
        </w:numPr>
        <w:spacing w:before="120" w:after="120" w:line="288" w:lineRule="auto"/>
        <w:ind w:left="0"/>
        <w:jc w:val="left"/>
      </w:pPr>
      <w:r>
        <w:rPr>
          <w:rFonts w:eastAsia="等线" w:ascii="Arial" w:cs="Arial" w:hAnsi="Arial"/>
          <w:sz w:val="22"/>
        </w:rPr>
        <w:t>制冷剂</w:t>
      </w:r>
    </w:p>
    <w:p>
      <w:pPr>
        <w:numPr>
          <w:numId w:val="99"/>
        </w:numPr>
        <w:spacing w:before="120" w:after="120" w:line="288" w:lineRule="auto"/>
        <w:ind w:left="0"/>
        <w:jc w:val="left"/>
      </w:pPr>
      <w:r>
        <w:rPr>
          <w:rFonts w:eastAsia="等线" w:ascii="Arial" w:cs="Arial" w:hAnsi="Arial"/>
          <w:sz w:val="22"/>
        </w:rPr>
        <w:t>自有车辆燃料</w:t>
      </w:r>
    </w:p>
    <w:p>
      <w:pPr>
        <w:numPr>
          <w:numId w:val="100"/>
        </w:numPr>
        <w:spacing w:before="120" w:after="120" w:line="288" w:lineRule="auto"/>
        <w:ind w:left="0"/>
        <w:jc w:val="left"/>
      </w:pPr>
      <w:r>
        <w:rPr>
          <w:rFonts w:eastAsia="等线" w:ascii="Arial" w:cs="Arial" w:hAnsi="Arial"/>
          <w:sz w:val="22"/>
        </w:rPr>
        <w:t>工艺直接排放</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3" w:id="43"/>
      <w:r>
        <w:rPr>
          <w:rFonts w:eastAsia="等线" w:ascii="Arial" w:cs="Arial" w:hAnsi="Arial"/>
          <w:b w:val="true"/>
          <w:sz w:val="32"/>
        </w:rPr>
        <w:t>Scope 2</w:t>
      </w:r>
      <w:bookmarkEnd w:id="4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Magna 买来的电、蒸汽、热力、冷量背后的排放。</w:t>
            </w:r>
          </w:p>
        </w:tc>
      </w:tr>
    </w:tbl>
    <w:p>
      <w:pPr>
        <w:spacing w:before="120" w:after="120" w:line="288" w:lineRule="auto"/>
        <w:ind w:left="0"/>
        <w:jc w:val="left"/>
      </w:pPr>
      <w:r>
        <w:rPr>
          <w:rFonts w:eastAsia="等线" w:ascii="Arial" w:cs="Arial" w:hAnsi="Arial"/>
          <w:sz w:val="22"/>
        </w:rPr>
        <w:t>核心数据：</w:t>
      </w:r>
    </w:p>
    <w:p>
      <w:pPr>
        <w:numPr>
          <w:numId w:val="101"/>
        </w:numPr>
        <w:spacing w:before="120" w:after="120" w:line="288" w:lineRule="auto"/>
        <w:ind w:left="0"/>
        <w:jc w:val="left"/>
      </w:pPr>
      <w:r>
        <w:rPr>
          <w:rFonts w:eastAsia="等线" w:ascii="Arial" w:cs="Arial" w:hAnsi="Arial"/>
          <w:sz w:val="22"/>
        </w:rPr>
        <w:t>外购电量</w:t>
      </w:r>
    </w:p>
    <w:p>
      <w:pPr>
        <w:numPr>
          <w:numId w:val="102"/>
        </w:numPr>
        <w:spacing w:before="120" w:after="120" w:line="288" w:lineRule="auto"/>
        <w:ind w:left="0"/>
        <w:jc w:val="left"/>
      </w:pPr>
      <w:r>
        <w:rPr>
          <w:rFonts w:eastAsia="等线" w:ascii="Arial" w:cs="Arial" w:hAnsi="Arial"/>
          <w:sz w:val="22"/>
        </w:rPr>
        <w:t>外购蒸汽</w:t>
      </w:r>
    </w:p>
    <w:p>
      <w:pPr>
        <w:numPr>
          <w:numId w:val="103"/>
        </w:numPr>
        <w:spacing w:before="120" w:after="120" w:line="288" w:lineRule="auto"/>
        <w:ind w:left="0"/>
        <w:jc w:val="left"/>
      </w:pPr>
      <w:r>
        <w:rPr>
          <w:rFonts w:eastAsia="等线" w:ascii="Arial" w:cs="Arial" w:hAnsi="Arial"/>
          <w:sz w:val="22"/>
        </w:rPr>
        <w:t>外购热力</w:t>
      </w:r>
    </w:p>
    <w:p>
      <w:pPr>
        <w:numPr>
          <w:numId w:val="104"/>
        </w:numPr>
        <w:spacing w:before="120" w:after="120" w:line="288" w:lineRule="auto"/>
        <w:ind w:left="0"/>
        <w:jc w:val="left"/>
      </w:pPr>
      <w:r>
        <w:rPr>
          <w:rFonts w:eastAsia="等线" w:ascii="Arial" w:cs="Arial" w:hAnsi="Arial"/>
          <w:sz w:val="22"/>
        </w:rPr>
        <w:t>外购冷量</w:t>
      </w:r>
    </w:p>
    <w:p>
      <w:pPr>
        <w:numPr>
          <w:numId w:val="105"/>
        </w:numPr>
        <w:spacing w:before="120" w:after="120" w:line="288" w:lineRule="auto"/>
        <w:ind w:left="0"/>
        <w:jc w:val="left"/>
      </w:pPr>
      <w:r>
        <w:rPr>
          <w:rFonts w:eastAsia="等线" w:ascii="Arial" w:cs="Arial" w:hAnsi="Arial"/>
          <w:sz w:val="22"/>
        </w:rPr>
        <w:t>电网排放因子</w:t>
      </w:r>
    </w:p>
    <w:p>
      <w:pPr>
        <w:numPr>
          <w:numId w:val="106"/>
        </w:numPr>
        <w:spacing w:before="120" w:after="120" w:line="288" w:lineRule="auto"/>
        <w:ind w:left="0"/>
        <w:jc w:val="left"/>
      </w:pPr>
      <w:r>
        <w:rPr>
          <w:rFonts w:eastAsia="等线" w:ascii="Arial" w:cs="Arial" w:hAnsi="Arial"/>
          <w:sz w:val="22"/>
        </w:rPr>
        <w:t>绿电/绿证/PPA 证据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 w:id="44"/>
      <w:r>
        <w:rPr>
          <w:rFonts w:eastAsia="等线" w:ascii="Arial" w:cs="Arial" w:hAnsi="Arial"/>
          <w:b w:val="true"/>
          <w:sz w:val="32"/>
        </w:rPr>
        <w:t>Scope 3</w:t>
      </w:r>
      <w:bookmarkEnd w:id="4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为了生产这辆车，供应商、物流商、员工、客户使用和车辆报废阶段产生的排放。</w:t>
            </w:r>
          </w:p>
        </w:tc>
      </w:tr>
    </w:tbl>
    <w:p>
      <w:pPr>
        <w:spacing w:before="120" w:after="120" w:line="288" w:lineRule="auto"/>
        <w:ind w:left="0"/>
        <w:jc w:val="left"/>
      </w:pPr>
      <w:r>
        <w:rPr>
          <w:rFonts w:eastAsia="等线" w:ascii="Arial" w:cs="Arial" w:hAnsi="Arial"/>
          <w:sz w:val="22"/>
        </w:rPr>
        <w:t>核心数据：</w:t>
      </w:r>
    </w:p>
    <w:p>
      <w:pPr>
        <w:numPr>
          <w:numId w:val="107"/>
        </w:numPr>
        <w:spacing w:before="120" w:after="120" w:line="288" w:lineRule="auto"/>
        <w:ind w:left="0"/>
        <w:jc w:val="left"/>
      </w:pPr>
      <w:r>
        <w:rPr>
          <w:rFonts w:eastAsia="等线" w:ascii="Arial" w:cs="Arial" w:hAnsi="Arial"/>
          <w:sz w:val="22"/>
        </w:rPr>
        <w:t>BOM</w:t>
      </w:r>
    </w:p>
    <w:p>
      <w:pPr>
        <w:numPr>
          <w:numId w:val="108"/>
        </w:numPr>
        <w:spacing w:before="120" w:after="120" w:line="288" w:lineRule="auto"/>
        <w:ind w:left="0"/>
        <w:jc w:val="left"/>
      </w:pPr>
      <w:r>
        <w:rPr>
          <w:rFonts w:eastAsia="等线" w:ascii="Arial" w:cs="Arial" w:hAnsi="Arial"/>
          <w:sz w:val="22"/>
        </w:rPr>
        <w:t>材料重量</w:t>
      </w:r>
    </w:p>
    <w:p>
      <w:pPr>
        <w:numPr>
          <w:numId w:val="109"/>
        </w:numPr>
        <w:spacing w:before="120" w:after="120" w:line="288" w:lineRule="auto"/>
        <w:ind w:left="0"/>
        <w:jc w:val="left"/>
      </w:pPr>
      <w:r>
        <w:rPr>
          <w:rFonts w:eastAsia="等线" w:ascii="Arial" w:cs="Arial" w:hAnsi="Arial"/>
          <w:sz w:val="22"/>
        </w:rPr>
        <w:t>供应商 PCF</w:t>
      </w:r>
    </w:p>
    <w:p>
      <w:pPr>
        <w:numPr>
          <w:numId w:val="110"/>
        </w:numPr>
        <w:spacing w:before="120" w:after="120" w:line="288" w:lineRule="auto"/>
        <w:ind w:left="0"/>
        <w:jc w:val="left"/>
      </w:pPr>
      <w:r>
        <w:rPr>
          <w:rFonts w:eastAsia="等线" w:ascii="Arial" w:cs="Arial" w:hAnsi="Arial"/>
          <w:sz w:val="22"/>
        </w:rPr>
        <w:t>零部件采购数据</w:t>
      </w:r>
    </w:p>
    <w:p>
      <w:pPr>
        <w:numPr>
          <w:numId w:val="111"/>
        </w:numPr>
        <w:spacing w:before="120" w:after="120" w:line="288" w:lineRule="auto"/>
        <w:ind w:left="0"/>
        <w:jc w:val="left"/>
      </w:pPr>
      <w:r>
        <w:rPr>
          <w:rFonts w:eastAsia="等线" w:ascii="Arial" w:cs="Arial" w:hAnsi="Arial"/>
          <w:sz w:val="22"/>
        </w:rPr>
        <w:t>入厂物流</w:t>
      </w:r>
    </w:p>
    <w:p>
      <w:pPr>
        <w:numPr>
          <w:numId w:val="112"/>
        </w:numPr>
        <w:spacing w:before="120" w:after="120" w:line="288" w:lineRule="auto"/>
        <w:ind w:left="0"/>
        <w:jc w:val="left"/>
      </w:pPr>
      <w:r>
        <w:rPr>
          <w:rFonts w:eastAsia="等线" w:ascii="Arial" w:cs="Arial" w:hAnsi="Arial"/>
          <w:sz w:val="22"/>
        </w:rPr>
        <w:t>废弃物</w:t>
      </w:r>
    </w:p>
    <w:p>
      <w:pPr>
        <w:numPr>
          <w:numId w:val="113"/>
        </w:numPr>
        <w:spacing w:before="120" w:after="120" w:line="288" w:lineRule="auto"/>
        <w:ind w:left="0"/>
        <w:jc w:val="left"/>
      </w:pPr>
      <w:r>
        <w:rPr>
          <w:rFonts w:eastAsia="等线" w:ascii="Arial" w:cs="Arial" w:hAnsi="Arial"/>
          <w:sz w:val="22"/>
        </w:rPr>
        <w:t>商务旅行</w:t>
      </w:r>
    </w:p>
    <w:p>
      <w:pPr>
        <w:numPr>
          <w:numId w:val="114"/>
        </w:numPr>
        <w:spacing w:before="120" w:after="120" w:line="288" w:lineRule="auto"/>
        <w:ind w:left="0"/>
        <w:jc w:val="left"/>
      </w:pPr>
      <w:r>
        <w:rPr>
          <w:rFonts w:eastAsia="等线" w:ascii="Arial" w:cs="Arial" w:hAnsi="Arial"/>
          <w:sz w:val="22"/>
        </w:rPr>
        <w:t>员工通勤</w:t>
      </w:r>
    </w:p>
    <w:p>
      <w:pPr>
        <w:numPr>
          <w:numId w:val="115"/>
        </w:numPr>
        <w:spacing w:before="120" w:after="120" w:line="288" w:lineRule="auto"/>
        <w:ind w:left="0"/>
        <w:jc w:val="left"/>
      </w:pPr>
      <w:r>
        <w:rPr>
          <w:rFonts w:eastAsia="等线" w:ascii="Arial" w:cs="Arial" w:hAnsi="Arial"/>
          <w:sz w:val="22"/>
        </w:rPr>
        <w:t>下游物流</w:t>
      </w:r>
    </w:p>
    <w:p>
      <w:pPr>
        <w:numPr>
          <w:numId w:val="116"/>
        </w:numPr>
        <w:spacing w:before="120" w:after="120" w:line="288" w:lineRule="auto"/>
        <w:ind w:left="0"/>
        <w:jc w:val="left"/>
      </w:pPr>
      <w:r>
        <w:rPr>
          <w:rFonts w:eastAsia="等线" w:ascii="Arial" w:cs="Arial" w:hAnsi="Arial"/>
          <w:sz w:val="22"/>
        </w:rPr>
        <w:t>车辆使用阶段能耗</w:t>
      </w:r>
    </w:p>
    <w:p>
      <w:pPr>
        <w:numPr>
          <w:numId w:val="117"/>
        </w:numPr>
        <w:spacing w:before="120" w:after="120" w:line="288" w:lineRule="auto"/>
        <w:ind w:left="0"/>
        <w:jc w:val="left"/>
      </w:pPr>
      <w:r>
        <w:rPr>
          <w:rFonts w:eastAsia="等线" w:ascii="Arial" w:cs="Arial" w:hAnsi="Arial"/>
          <w:sz w:val="22"/>
        </w:rPr>
        <w:t>报废回收数据</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最实用的一句话是：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Scope 1/2 是工厂自己运营的碳；Scope 3 是这辆车背后整条供应链和生命周期的碳。</w:t>
            </w:r>
          </w:p>
        </w:tc>
      </w:tr>
    </w:tbl>
    <w:p>
      <w:pPr>
        <w:spacing w:before="120" w:after="120" w:line="288" w:lineRule="auto"/>
        <w:ind w:left="0"/>
        <w:jc w:val="left"/>
      </w:pPr>
      <w:r>
        <w:rPr>
          <w:rFonts w:eastAsia="等线" w:ascii="Arial" w:cs="Arial" w:hAnsi="Arial"/>
          <w:sz w:val="22"/>
        </w:rPr>
        <w:t xml:space="preserve">真正做汽车碳核算时，难点不在公式，而在 </w:t>
      </w:r>
      <w:r>
        <w:rPr>
          <w:rFonts w:eastAsia="等线" w:ascii="Arial" w:cs="Arial" w:hAnsi="Arial"/>
          <w:b w:val="true"/>
          <w:sz w:val="22"/>
        </w:rPr>
        <w:t>边界、数据质量、BOM 颗粒度、供应商数据、分摊规则和防止重复计算</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更准确地说，能碳管理平台里应该分成两套账：</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第一套：组织碳盘查账</w:t>
            </w:r>
            <w:r>
              <w:rPr>
                <w:rFonts w:eastAsia="等线" w:ascii="Arial" w:cs="Arial" w:hAnsi="Arial"/>
                <w:color w:val="646a73"/>
                <w:sz w:val="22"/>
              </w:rPr>
              <w:br/>
            </w:r>
            <w:r>
              <w:rPr>
                <w:rFonts w:eastAsia="等线" w:ascii="Arial" w:cs="Arial" w:hAnsi="Arial"/>
                <w:color w:val="646a73"/>
                <w:sz w:val="22"/>
              </w:rPr>
              <w:t xml:space="preserve"> 算这个工厂/法人/集团一年 Scope 1、Scope 2、Scope 3 各排了多少。</w:t>
            </w:r>
          </w:p>
          <w:p>
            <w:pPr>
              <w:spacing w:before="120" w:after="120" w:line="288" w:lineRule="auto"/>
              <w:ind w:left="0"/>
              <w:jc w:val="left"/>
            </w:pPr>
            <w:r>
              <w:rPr>
                <w:rFonts w:eastAsia="等线" w:ascii="Arial" w:cs="Arial" w:hAnsi="Arial"/>
                <w:b w:val="true"/>
                <w:color w:val="646a73"/>
                <w:sz w:val="22"/>
              </w:rPr>
              <w:t>第二套：产品碳足迹账</w:t>
            </w:r>
            <w:r>
              <w:rPr>
                <w:rFonts w:eastAsia="等线" w:ascii="Arial" w:cs="Arial" w:hAnsi="Arial"/>
                <w:color w:val="646a73"/>
                <w:sz w:val="22"/>
              </w:rPr>
              <w:br/>
            </w:r>
            <w:r>
              <w:rPr>
                <w:rFonts w:eastAsia="等线" w:ascii="Arial" w:cs="Arial" w:hAnsi="Arial"/>
                <w:color w:val="646a73"/>
                <w:sz w:val="22"/>
              </w:rPr>
              <w:t xml:space="preserve"> 算某一辆车、某一款车型、某一个产品生命周期排了多少。</w:t>
            </w:r>
          </w:p>
        </w:tc>
      </w:tr>
    </w:tbl>
    <w:p>
      <w:pPr>
        <w:spacing w:before="120" w:after="120" w:line="288" w:lineRule="auto"/>
        <w:ind w:left="0"/>
        <w:jc w:val="left"/>
      </w:pPr>
      <w:r>
        <w:rPr>
          <w:rFonts w:eastAsia="等线" w:ascii="Arial" w:cs="Arial" w:hAnsi="Arial"/>
          <w:sz w:val="22"/>
        </w:rPr>
        <w:t>GHG Protocol 的 Product Standard 是用来核算产品生命周期温室气体排放的，覆盖原材料、制造、运输、储存、使用和处置等阶段；而 Scope 3 Standard 是企业核算价值链 15 类上下游间接排放的方法。也就是说，</w:t>
      </w:r>
      <w:r>
        <w:rPr>
          <w:rFonts w:eastAsia="等线" w:ascii="Arial" w:cs="Arial" w:hAnsi="Arial"/>
          <w:b w:val="true"/>
          <w:sz w:val="22"/>
        </w:rPr>
        <w:t>组织碳盘查和产品碳足迹有关联，但不是同一张表直接相除</w:t>
      </w:r>
      <w:r>
        <w:rPr>
          <w:rFonts w:eastAsia="等线" w:ascii="Arial" w:cs="Arial" w:hAnsi="Arial"/>
          <w:sz w:val="22"/>
        </w:rPr>
        <w: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5" w:id="45"/>
      <w:bookmarkEnd w:id="45"/>
    </w:p>
    <w:p>
      <w:pPr>
        <w:pStyle w:val="1"/>
        <w:spacing w:before="380" w:after="140" w:line="288" w:lineRule="auto"/>
        <w:ind w:left="0"/>
        <w:jc w:val="left"/>
        <w:outlineLvl w:val="0"/>
      </w:pPr>
      <w:bookmarkStart w:name="heading_46" w:id="46"/>
      <w:r>
        <w:rPr>
          <w:rFonts w:eastAsia="等线" w:ascii="Arial" w:cs="Arial" w:hAnsi="Arial"/>
          <w:b w:val="true"/>
          <w:sz w:val="36"/>
        </w:rPr>
        <w:t>九、计算注意事项</w:t>
      </w:r>
      <w:bookmarkEnd w:id="46"/>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1. </w:t>
      </w:r>
      <w:r>
        <w:rPr>
          <w:rFonts w:eastAsia="等线" w:ascii="Arial" w:cs="Arial" w:hAnsi="Arial"/>
          <w:b w:val="true"/>
          <w:sz w:val="32"/>
        </w:rPr>
        <w:t>企业碳排查时，先算什么？</w:t>
      </w:r>
      <w:bookmarkEnd w:id="47"/>
    </w:p>
    <w:p>
      <w:pPr>
        <w:spacing w:before="120" w:after="120" w:line="288" w:lineRule="auto"/>
        <w:ind w:left="0"/>
        <w:jc w:val="left"/>
      </w:pPr>
      <w:r>
        <w:rPr>
          <w:rFonts w:eastAsia="等线" w:ascii="Arial" w:cs="Arial" w:hAnsi="Arial"/>
          <w:sz w:val="22"/>
        </w:rPr>
        <w:t>如果你给甲方做能碳管理平台，通常先做：</w:t>
      </w:r>
    </w:p>
    <w:p>
      <w:pPr>
        <w:spacing w:before="120" w:after="120" w:line="288" w:lineRule="auto"/>
        <w:ind w:left="0"/>
        <w:jc w:val="left"/>
      </w:pPr>
      <w:r>
        <w:rPr>
          <w:rFonts w:eastAsia="等线" w:ascii="Arial" w:cs="Arial" w:hAnsi="Arial"/>
          <w:b w:val="true"/>
          <w:sz w:val="22"/>
        </w:rPr>
        <w:t>第一步：算组织层面的 Scope 1/2/3</w:t>
      </w:r>
    </w:p>
    <w:p>
      <w:pPr>
        <w:spacing w:before="120" w:after="120" w:line="288" w:lineRule="auto"/>
        <w:ind w:left="0"/>
        <w:jc w:val="left"/>
      </w:pPr>
      <w:r>
        <w:rPr>
          <w:rFonts w:eastAsia="等线" w:ascii="Arial" w:cs="Arial" w:hAnsi="Arial"/>
          <w:sz w:val="22"/>
        </w:rPr>
        <w:t>比如某 Magna 工厂 2025 年：</w:t>
      </w:r>
    </w:p>
    <w:p>
      <w:pPr>
        <w:spacing w:before="120" w:after="120" w:line="288" w:lineRule="auto"/>
        <w:ind w:left="0"/>
      </w:pPr>
      <w:r>
        <w:object>
          <v:shape id="_x0000_i1056" style="width:414pt;height:75pt;mso-width-percent:0;mso-height-percent:0;mso-width-percent:0;mso-height-percent:0" type="#_x0000_t75" o:ole="">
            <v:imagedata r:id="rId71" o:title=""/>
          </v:shape>
          <o:OLEObject DrawAspect="Icon" ObjectID="_1718471250" ProgID="Excel.Sheet.12" ShapeID="_x0000_i1056" Type="Embed" r:id="rId7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这一步的目标是：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知道企业整体排放多少，哪些环节排放最高，哪些部门负责数据。</w:t>
            </w:r>
          </w:p>
        </w:tc>
      </w:tr>
    </w:tbl>
    <w:p>
      <w:pPr>
        <w:spacing w:before="120" w:after="120" w:line="288" w:lineRule="auto"/>
        <w:ind w:left="0"/>
        <w:jc w:val="left"/>
      </w:pPr>
      <w:r>
        <w:rPr>
          <w:rFonts w:eastAsia="等线" w:ascii="Arial" w:cs="Arial" w:hAnsi="Arial"/>
          <w:sz w:val="22"/>
        </w:rPr>
        <w:t>这个是企业碳盘查。</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第二步：把“可归属于某车型/产品”的排放分摊到单车</w:t>
      </w:r>
    </w:p>
    <w:p>
      <w:pPr>
        <w:spacing w:before="120" w:after="120" w:line="288" w:lineRule="auto"/>
        <w:ind w:left="0"/>
        <w:jc w:val="left"/>
      </w:pPr>
      <w:r>
        <w:rPr>
          <w:rFonts w:eastAsia="等线" w:ascii="Arial" w:cs="Arial" w:hAnsi="Arial"/>
          <w:sz w:val="22"/>
        </w:rPr>
        <w:t>比如你要算某车型 A 的单车制造碳排：</w:t>
      </w:r>
    </w:p>
    <w:p>
      <w:pPr>
        <w:spacing w:before="120" w:after="120" w:line="288" w:lineRule="auto"/>
        <w:ind w:left="0"/>
        <w:jc w:val="left"/>
      </w:pPr>
      <w:r>
        <w:rPr>
          <w:rFonts w:eastAsia="等线" w:ascii="Arial" w:cs="Arial" w:hAnsi="Arial"/>
          <w:sz w:val="22"/>
        </w:rPr>
        <w:t>不能直接用：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全厂 Scope 1 + Scope 2 + Scope 3 ÷ 全厂产量</w:t>
            </w:r>
          </w:p>
        </w:tc>
      </w:tr>
    </w:tbl>
    <w:p>
      <w:pPr>
        <w:spacing w:before="120" w:after="120" w:line="288" w:lineRule="auto"/>
        <w:ind w:left="0"/>
        <w:jc w:val="left"/>
      </w:pPr>
      <w:r>
        <w:rPr>
          <w:rFonts w:eastAsia="等线" w:ascii="Arial" w:cs="Arial" w:hAnsi="Arial"/>
          <w:sz w:val="22"/>
        </w:rPr>
        <w:t>而应该尽量用：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车型 A 相关排放 ÷ 车型 A 的合格产出数量</w:t>
            </w:r>
          </w:p>
        </w:tc>
      </w:tr>
    </w:tbl>
    <w:p>
      <w:pPr>
        <w:spacing w:before="120" w:after="120" w:line="288" w:lineRule="auto"/>
        <w:ind w:left="0"/>
        <w:jc w:val="left"/>
      </w:pPr>
      <w:r>
        <w:rPr>
          <w:rFonts w:eastAsia="等线" w:ascii="Arial" w:cs="Arial" w:hAnsi="Arial"/>
          <w:sz w:val="22"/>
        </w:rPr>
        <w:t>更专业一点：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单车制造阶段碳排 = 车型相关的 Scope 1 分摊 + Scope 2 分摊 + 相关上游材料/零部件/物流/废弃物分摊</w:t>
            </w:r>
          </w:p>
        </w:tc>
      </w:tr>
    </w:tbl>
    <w:p>
      <w:pPr>
        <w:spacing w:before="120" w:after="120" w:line="288" w:lineRule="auto"/>
        <w:ind w:left="0"/>
        <w:jc w:val="left"/>
      </w:pPr>
      <w:r>
        <w:rPr>
          <w:rFonts w:eastAsia="等线" w:ascii="Arial" w:cs="Arial" w:hAnsi="Arial"/>
          <w:sz w:val="22"/>
        </w:rPr>
        <w:t>如果是完整产品碳足迹，还要继续加：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使用阶段排放 + 维修维护 + 报废回收阶段排放</w:t>
            </w:r>
          </w:p>
        </w:tc>
      </w:tr>
    </w:tbl>
    <w:p>
      <w:pPr>
        <w:spacing w:before="120" w:after="120" w:line="288" w:lineRule="auto"/>
        <w:ind w:left="0"/>
        <w:jc w:val="left"/>
      </w:pPr>
      <w:r>
        <w:rPr>
          <w:rFonts w:eastAsia="等线" w:ascii="Arial" w:cs="Arial" w:hAnsi="Arial"/>
          <w:sz w:val="22"/>
        </w:rPr>
        <w:t>ISO 14067 也是围绕产品生命周期温室气体排放量化展开，边界通常从原材料获取开始，一直到产品生命末端。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8" w:id="48"/>
      <w:r>
        <w:rPr>
          <w:rFonts w:eastAsia="等线" w:ascii="Arial" w:cs="Arial" w:hAnsi="Arial"/>
          <w:color w:val="3370ff"/>
          <w:sz w:val="32"/>
        </w:rPr>
        <w:t xml:space="preserve">2. </w:t>
      </w:r>
      <w:r>
        <w:rPr>
          <w:rFonts w:eastAsia="等线" w:ascii="Arial" w:cs="Arial" w:hAnsi="Arial"/>
          <w:b w:val="true"/>
          <w:sz w:val="32"/>
        </w:rPr>
        <w:t>能不能直接平均到单车？</w:t>
      </w:r>
      <w:bookmarkEnd w:id="48"/>
    </w:p>
    <w:p>
      <w:pPr>
        <w:spacing w:before="120" w:after="120" w:line="288" w:lineRule="auto"/>
        <w:ind w:left="0"/>
        <w:jc w:val="left"/>
      </w:pPr>
      <w:r>
        <w:rPr>
          <w:rFonts w:eastAsia="等线" w:ascii="Arial" w:cs="Arial" w:hAnsi="Arial"/>
          <w:sz w:val="22"/>
        </w:rPr>
        <w:t>可以，但只能作为</w:t>
      </w:r>
      <w:r>
        <w:rPr>
          <w:rFonts w:eastAsia="等线" w:ascii="Arial" w:cs="Arial" w:hAnsi="Arial"/>
          <w:b w:val="true"/>
          <w:sz w:val="22"/>
          <w:shd w:fill="fff67a"/>
        </w:rPr>
        <w:t>粗略口径</w:t>
      </w:r>
      <w:r>
        <w:rPr>
          <w:rFonts w:eastAsia="等线" w:ascii="Arial" w:cs="Arial" w:hAnsi="Arial"/>
          <w:sz w:val="22"/>
        </w:rPr>
        <w:t>，</w:t>
      </w:r>
      <w:r>
        <w:rPr>
          <w:rFonts w:eastAsia="等线" w:ascii="Arial" w:cs="Arial" w:hAnsi="Arial"/>
          <w:sz w:val="22"/>
          <w:shd w:fill="fff67a"/>
        </w:rPr>
        <w:t>不适合作为正式产品碳足迹</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粗略算法</w:t>
      </w:r>
    </w:p>
    <w:p>
      <w:pPr>
        <w:spacing w:before="120" w:after="120" w:line="288" w:lineRule="auto"/>
        <w:ind w:left="0"/>
        <w:jc w:val="left"/>
      </w:pPr>
      <w:r>
        <w:rPr>
          <w:rFonts w:eastAsia="等线" w:ascii="Arial" w:cs="Arial" w:hAnsi="Arial"/>
          <w:sz w:val="22"/>
        </w:rPr>
        <w:t>比如工厂全年排放：</w:t>
      </w:r>
    </w:p>
    <w:p>
      <w:pPr>
        <w:spacing w:before="120" w:after="120" w:line="288" w:lineRule="auto"/>
        <w:ind w:left="0"/>
      </w:pPr>
      <w:r>
        <w:object>
          <v:shape id="_x0000_i1057" style="width:414pt;height:75pt;mso-width-percent:0;mso-height-percent:0;mso-width-percent:0;mso-height-percent:0" type="#_x0000_t75" o:ole="">
            <v:imagedata r:id="rId73" o:title=""/>
          </v:shape>
          <o:OLEObject DrawAspect="Icon" ObjectID="_1718471251" ProgID="Excel.Sheet.12" ShapeID="_x0000_i1057" Type="Embed" r:id="rId7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那么粗略制造阶段单车排放：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50,000 ÷ 100,000 = 0.5 tCO₂e / 辆</w:t>
            </w:r>
          </w:p>
        </w:tc>
      </w:tr>
    </w:tbl>
    <w:p>
      <w:pPr>
        <w:spacing w:before="120" w:after="120" w:line="288" w:lineRule="auto"/>
        <w:ind w:left="0"/>
        <w:jc w:val="left"/>
      </w:pPr>
      <w:r>
        <w:rPr>
          <w:rFonts w:eastAsia="等线" w:ascii="Arial" w:cs="Arial" w:hAnsi="Arial"/>
          <w:sz w:val="22"/>
        </w:rPr>
        <w:t>这个可以用于：</w:t>
      </w:r>
    </w:p>
    <w:p>
      <w:pPr>
        <w:numPr>
          <w:numId w:val="118"/>
        </w:numPr>
        <w:spacing w:before="120" w:after="120" w:line="288" w:lineRule="auto"/>
        <w:ind w:left="0"/>
        <w:jc w:val="left"/>
      </w:pPr>
      <w:r>
        <w:rPr>
          <w:rFonts w:eastAsia="等线" w:ascii="Arial" w:cs="Arial" w:hAnsi="Arial"/>
          <w:sz w:val="22"/>
        </w:rPr>
        <w:t xml:space="preserve"> 内部管理看趋势 </w:t>
      </w:r>
    </w:p>
    <w:p>
      <w:pPr>
        <w:numPr>
          <w:numId w:val="119"/>
        </w:numPr>
        <w:spacing w:before="120" w:after="120" w:line="288" w:lineRule="auto"/>
        <w:ind w:left="0"/>
        <w:jc w:val="left"/>
      </w:pPr>
      <w:r>
        <w:rPr>
          <w:rFonts w:eastAsia="等线" w:ascii="Arial" w:cs="Arial" w:hAnsi="Arial"/>
          <w:sz w:val="22"/>
        </w:rPr>
        <w:t xml:space="preserve"> 月度能耗强度 </w:t>
      </w:r>
    </w:p>
    <w:p>
      <w:pPr>
        <w:numPr>
          <w:numId w:val="120"/>
        </w:numPr>
        <w:spacing w:before="120" w:after="120" w:line="288" w:lineRule="auto"/>
        <w:ind w:left="0"/>
        <w:jc w:val="left"/>
      </w:pPr>
      <w:r>
        <w:rPr>
          <w:rFonts w:eastAsia="等线" w:ascii="Arial" w:cs="Arial" w:hAnsi="Arial"/>
          <w:sz w:val="22"/>
        </w:rPr>
        <w:t xml:space="preserve"> 工厂级 KPI </w:t>
      </w:r>
    </w:p>
    <w:p>
      <w:pPr>
        <w:numPr>
          <w:numId w:val="121"/>
        </w:numPr>
        <w:spacing w:before="120" w:after="120" w:line="288" w:lineRule="auto"/>
        <w:ind w:left="0"/>
        <w:jc w:val="left"/>
      </w:pPr>
      <w:r>
        <w:rPr>
          <w:rFonts w:eastAsia="等线" w:ascii="Arial" w:cs="Arial" w:hAnsi="Arial"/>
          <w:sz w:val="22"/>
        </w:rPr>
        <w:t xml:space="preserve"> 粗略估算 </w:t>
      </w:r>
    </w:p>
    <w:p>
      <w:pPr>
        <w:spacing w:before="120" w:after="120" w:line="288" w:lineRule="auto"/>
        <w:ind w:left="0"/>
        <w:jc w:val="left"/>
      </w:pPr>
      <w:r>
        <w:rPr>
          <w:rFonts w:eastAsia="等线" w:ascii="Arial" w:cs="Arial" w:hAnsi="Arial"/>
          <w:sz w:val="22"/>
        </w:rPr>
        <w:t>但不能说明“每一辆车真实都是 0.5 tCO₂e”。</w:t>
      </w:r>
    </w:p>
    <w:p>
      <w:pPr>
        <w:spacing w:before="120" w:after="120" w:line="288" w:lineRule="auto"/>
        <w:ind w:left="0"/>
        <w:jc w:val="left"/>
      </w:pPr>
      <w:r>
        <w:rPr>
          <w:rFonts w:eastAsia="等线" w:ascii="Arial" w:cs="Arial" w:hAnsi="Arial"/>
          <w:sz w:val="22"/>
        </w:rPr>
        <w:t>因为不同车型差异很大：</w:t>
      </w:r>
    </w:p>
    <w:p>
      <w:pPr>
        <w:spacing w:before="120" w:after="120" w:line="288" w:lineRule="auto"/>
        <w:ind w:left="0"/>
      </w:pPr>
      <w:r>
        <w:object>
          <v:shape id="_x0000_i1058" style="width:414pt;height:128pt;mso-width-percent:0;mso-height-percent:0;mso-width-percent:0;mso-height-percent:0" type="#_x0000_t75" o:ole="">
            <v:imagedata r:id="rId75" o:title=""/>
          </v:shape>
          <o:OLEObject DrawAspect="Icon" ObjectID="_1718471252" ProgID="Excel.Sheet.12" ShapeID="_x0000_i1058" Type="Embed" r:id="rId7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所以平台里不要只做一个“总排放 ÷ 总产量”的按钮，而是要支持</w:t>
      </w:r>
      <w:r>
        <w:rPr>
          <w:rFonts w:eastAsia="等线" w:ascii="Arial" w:cs="Arial" w:hAnsi="Arial"/>
          <w:b w:val="true"/>
          <w:sz w:val="22"/>
        </w:rPr>
        <w:t>多层级分摊</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color w:val="3370ff"/>
          <w:sz w:val="32"/>
        </w:rPr>
        <w:t xml:space="preserve">3. </w:t>
      </w:r>
      <w:r>
        <w:rPr>
          <w:rFonts w:eastAsia="等线" w:ascii="Arial" w:cs="Arial" w:hAnsi="Arial"/>
          <w:b w:val="true"/>
          <w:sz w:val="32"/>
        </w:rPr>
        <w:t>不合格车辆怎么算？这是重点</w:t>
      </w:r>
      <w:bookmarkEnd w:id="49"/>
    </w:p>
    <w:p>
      <w:pPr>
        <w:spacing w:before="120" w:after="120" w:line="288" w:lineRule="auto"/>
        <w:ind w:left="0"/>
        <w:jc w:val="left"/>
      </w:pPr>
      <w:r>
        <w:rPr>
          <w:rFonts w:eastAsia="等线" w:ascii="Arial" w:cs="Arial" w:hAnsi="Arial"/>
          <w:sz w:val="22"/>
        </w:rPr>
        <w:t>结论先说：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对外做单车产品碳足迹，通常建议用“合格入库/可销售/交付车辆数量”做分母。</w:t>
            </w:r>
            <w:r>
              <w:rPr>
                <w:rFonts w:eastAsia="等线" w:ascii="Arial" w:cs="Arial" w:hAnsi="Arial"/>
                <w:color w:val="646a73"/>
                <w:sz w:val="22"/>
              </w:rPr>
              <w:br/>
            </w:r>
            <w:r>
              <w:rPr>
                <w:rFonts w:eastAsia="等线" w:ascii="Arial" w:cs="Arial" w:hAnsi="Arial"/>
                <w:b w:val="true"/>
                <w:color w:val="646a73"/>
                <w:sz w:val="22"/>
              </w:rPr>
              <w:t>不合格车辆、报废件、返工返修造成的能耗和排放，不能从分子里删掉，而应该分摊到合格产品上。</w:t>
            </w:r>
          </w:p>
        </w:tc>
      </w:tr>
    </w:tbl>
    <w:p>
      <w:pPr>
        <w:spacing w:before="120" w:after="120" w:line="288" w:lineRule="auto"/>
        <w:ind w:left="0"/>
        <w:jc w:val="left"/>
      </w:pPr>
      <w:r>
        <w:rPr>
          <w:rFonts w:eastAsia="等线" w:ascii="Arial" w:cs="Arial" w:hAnsi="Arial"/>
          <w:sz w:val="22"/>
        </w:rPr>
        <w:t>也就是说：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不合格品不进分母，但它造成的能耗和排放要留在分子里。</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举个例子</w:t>
      </w:r>
    </w:p>
    <w:p>
      <w:pPr>
        <w:spacing w:before="120" w:after="120" w:line="288" w:lineRule="auto"/>
        <w:ind w:left="0"/>
        <w:jc w:val="left"/>
      </w:pPr>
      <w:r>
        <w:rPr>
          <w:rFonts w:eastAsia="等线" w:ascii="Arial" w:cs="Arial" w:hAnsi="Arial"/>
          <w:sz w:val="22"/>
        </w:rPr>
        <w:t>某工厂一个月生产某车型：</w:t>
      </w:r>
    </w:p>
    <w:p>
      <w:pPr>
        <w:spacing w:before="120" w:after="120" w:line="288" w:lineRule="auto"/>
        <w:ind w:left="0"/>
      </w:pPr>
      <w:r>
        <w:object>
          <v:shape id="_x0000_i1059" style="width:414pt;height:90pt;mso-width-percent:0;mso-height-percent:0;mso-width-percent:0;mso-height-percent:0" type="#_x0000_t75" o:ole="">
            <v:imagedata r:id="rId77" o:title=""/>
          </v:shape>
          <o:OLEObject DrawAspect="Icon" ObjectID="_1718471253" ProgID="Excel.Sheet.12" ShapeID="_x0000_i1059" Type="Embed" r:id="rId7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这个月该车型相关制造排放：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6,000 tCO₂e</w:t>
            </w:r>
          </w:p>
        </w:tc>
      </w:tr>
    </w:tbl>
    <w:p>
      <w:pPr>
        <w:spacing w:before="120" w:after="120" w:line="288" w:lineRule="auto"/>
        <w:ind w:left="0"/>
        <w:jc w:val="left"/>
      </w:pPr>
      <w:r>
        <w:rPr>
          <w:rFonts w:eastAsia="等线" w:ascii="Arial" w:cs="Arial" w:hAnsi="Arial"/>
          <w:sz w:val="22"/>
        </w:rPr>
        <w:t>如果算对外产品碳足迹，推荐分母是：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最终合格车辆 = 10,300 辆</w:t>
            </w:r>
            <w:r>
              <w:rPr>
                <w:rFonts w:eastAsia="等线" w:ascii="Arial" w:cs="Arial" w:hAnsi="Arial"/>
                <w:color w:val="646a73"/>
                <w:sz w:val="22"/>
              </w:rPr>
              <w:br/>
            </w:r>
            <w:r>
              <w:rPr>
                <w:rFonts w:eastAsia="等线" w:ascii="Arial" w:cs="Arial" w:hAnsi="Arial"/>
                <w:color w:val="646a73"/>
                <w:sz w:val="22"/>
              </w:rPr>
              <w:t xml:space="preserve"> 也就是一次合格 10,000 + 返修后合格 300</w:t>
            </w:r>
          </w:p>
        </w:tc>
      </w:tr>
    </w:tbl>
    <w:p>
      <w:pPr>
        <w:spacing w:before="120" w:after="120" w:line="288" w:lineRule="auto"/>
        <w:ind w:left="0"/>
        <w:jc w:val="left"/>
      </w:pPr>
      <w:r>
        <w:rPr>
          <w:rFonts w:eastAsia="等线" w:ascii="Arial" w:cs="Arial" w:hAnsi="Arial"/>
          <w:sz w:val="22"/>
        </w:rPr>
        <w:t>单车制造排放：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6,000 ÷ 10,300 = 0.583 tCO₂e / 辆</w:t>
            </w:r>
          </w:p>
        </w:tc>
      </w:tr>
    </w:tbl>
    <w:p>
      <w:pPr>
        <w:spacing w:before="120" w:after="120" w:line="288" w:lineRule="auto"/>
        <w:ind w:left="0"/>
        <w:jc w:val="left"/>
      </w:pPr>
      <w:r>
        <w:rPr>
          <w:rFonts w:eastAsia="等线" w:ascii="Arial" w:cs="Arial" w:hAnsi="Arial"/>
          <w:sz w:val="22"/>
        </w:rPr>
        <w:t>那 200 辆报废车呢？</w:t>
      </w:r>
    </w:p>
    <w:p>
      <w:pPr>
        <w:spacing w:before="120" w:after="120" w:line="288" w:lineRule="auto"/>
        <w:ind w:left="0"/>
        <w:jc w:val="left"/>
      </w:pPr>
      <w:r>
        <w:rPr>
          <w:rFonts w:eastAsia="等线" w:ascii="Arial" w:cs="Arial" w:hAnsi="Arial"/>
          <w:sz w:val="22"/>
        </w:rPr>
        <w:t>它们造成的材料、能源、返工、废弃物排放，仍然留在 6,000 tCO₂e 里面，由合格车辆承担。</w:t>
      </w:r>
    </w:p>
    <w:p>
      <w:pPr>
        <w:spacing w:before="120" w:after="120" w:line="288" w:lineRule="auto"/>
        <w:ind w:left="0"/>
        <w:jc w:val="left"/>
      </w:pPr>
      <w:r>
        <w:rPr>
          <w:rFonts w:eastAsia="等线" w:ascii="Arial" w:cs="Arial" w:hAnsi="Arial"/>
          <w:sz w:val="22"/>
        </w:rPr>
        <w:t>这反映了一个真实业务逻辑：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良率越低，合格车的单位碳排越高。</w:t>
            </w:r>
          </w:p>
        </w:tc>
      </w:tr>
    </w:tbl>
    <w:p>
      <w:pPr>
        <w:spacing w:before="120" w:after="120" w:line="288" w:lineRule="auto"/>
        <w:ind w:left="0"/>
        <w:jc w:val="left"/>
      </w:pPr>
      <w:r>
        <w:rPr>
          <w:rFonts w:eastAsia="等线" w:ascii="Arial" w:cs="Arial" w:hAnsi="Arial"/>
          <w:sz w:val="22"/>
        </w:rPr>
        <w:t>这对管理非常有价值。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0" w:id="50"/>
      <w:r>
        <w:rPr>
          <w:rFonts w:eastAsia="等线" w:ascii="Arial" w:cs="Arial" w:hAnsi="Arial"/>
          <w:color w:val="3370ff"/>
          <w:sz w:val="32"/>
        </w:rPr>
        <w:t xml:space="preserve">4. </w:t>
      </w:r>
      <w:r>
        <w:rPr>
          <w:rFonts w:eastAsia="等线" w:ascii="Arial" w:cs="Arial" w:hAnsi="Arial"/>
          <w:b w:val="true"/>
          <w:sz w:val="32"/>
        </w:rPr>
        <w:t>如果按“总生产数量”会有什么问题？</w:t>
      </w:r>
      <w:bookmarkEnd w:id="50"/>
    </w:p>
    <w:p>
      <w:pPr>
        <w:spacing w:before="120" w:after="120" w:line="288" w:lineRule="auto"/>
        <w:ind w:left="0"/>
        <w:jc w:val="left"/>
      </w:pPr>
      <w:r>
        <w:rPr>
          <w:rFonts w:eastAsia="等线" w:ascii="Arial" w:cs="Arial" w:hAnsi="Arial"/>
          <w:sz w:val="22"/>
        </w:rPr>
        <w:t>如果你用总生产数量做分母：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6,000 ÷ 10,500 = 0.571 tCO₂e / 辆</w:t>
            </w:r>
          </w:p>
        </w:tc>
      </w:tr>
    </w:tbl>
    <w:p>
      <w:pPr>
        <w:spacing w:before="120" w:after="120" w:line="288" w:lineRule="auto"/>
        <w:ind w:left="0"/>
        <w:jc w:val="left"/>
      </w:pPr>
      <w:r>
        <w:rPr>
          <w:rFonts w:eastAsia="等线" w:ascii="Arial" w:cs="Arial" w:hAnsi="Arial"/>
          <w:sz w:val="22"/>
        </w:rPr>
        <w:t>看起来单车碳排更低。</w:t>
      </w:r>
    </w:p>
    <w:p>
      <w:pPr>
        <w:spacing w:before="120" w:after="120" w:line="288" w:lineRule="auto"/>
        <w:ind w:left="0"/>
        <w:jc w:val="left"/>
      </w:pPr>
      <w:r>
        <w:rPr>
          <w:rFonts w:eastAsia="等线" w:ascii="Arial" w:cs="Arial" w:hAnsi="Arial"/>
          <w:sz w:val="22"/>
        </w:rPr>
        <w:t>但这会掩盖质量损失，因为其中 200 辆最终没有成为可销售产品，却帮你稀释了单位排放。</w:t>
      </w:r>
    </w:p>
    <w:p>
      <w:pPr>
        <w:spacing w:before="120" w:after="120" w:line="288" w:lineRule="auto"/>
        <w:ind w:left="0"/>
        <w:jc w:val="left"/>
      </w:pPr>
      <w:r>
        <w:rPr>
          <w:rFonts w:eastAsia="等线" w:ascii="Arial" w:cs="Arial" w:hAnsi="Arial"/>
          <w:sz w:val="22"/>
        </w:rPr>
        <w:t>所以不建议用“投产总数”作为对外产品碳足迹分母。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 w:id="51"/>
      <w:r>
        <w:rPr>
          <w:rFonts w:eastAsia="等线" w:ascii="Arial" w:cs="Arial" w:hAnsi="Arial"/>
          <w:color w:val="3370ff"/>
          <w:sz w:val="32"/>
        </w:rPr>
        <w:t xml:space="preserve">5. </w:t>
      </w:r>
      <w:r>
        <w:rPr>
          <w:rFonts w:eastAsia="等线" w:ascii="Arial" w:cs="Arial" w:hAnsi="Arial"/>
          <w:b w:val="true"/>
          <w:sz w:val="32"/>
        </w:rPr>
        <w:t>不同管理场景下，分母可以不同</w:t>
      </w:r>
      <w:bookmarkEnd w:id="51"/>
    </w:p>
    <w:p>
      <w:pPr>
        <w:spacing w:before="120" w:after="120" w:line="288" w:lineRule="auto"/>
        <w:ind w:left="0"/>
        <w:jc w:val="left"/>
      </w:pPr>
      <w:r>
        <w:rPr>
          <w:rFonts w:eastAsia="等线" w:ascii="Arial" w:cs="Arial" w:hAnsi="Arial"/>
          <w:sz w:val="22"/>
        </w:rPr>
        <w:t>平台最好不要写死一个口径，而是让系统支持不同指标。</w:t>
      </w:r>
    </w:p>
    <w:p>
      <w:pPr>
        <w:spacing w:before="120" w:after="120" w:line="288" w:lineRule="auto"/>
        <w:ind w:left="0"/>
      </w:pPr>
      <w:r>
        <w:object>
          <v:shape id="_x0000_i1060" style="width:414pt;height:128pt;mso-width-percent:0;mso-height-percent:0;mso-width-percent:0;mso-height-percent:0" type="#_x0000_t75" o:ole="">
            <v:imagedata r:id="rId79" o:title=""/>
          </v:shape>
          <o:OLEObject DrawAspect="Icon" ObjectID="_1718471254" ProgID="Excel.Sheet.12" ShapeID="_x0000_i1060" Type="Embed" r:id="rId7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所以系统里应该把它们拆开：</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投产数量 ≠ 合格数量 ≠ 入库数量 ≠ 销售数量 ≠ 交付数量</w:t>
            </w:r>
          </w:p>
        </w:tc>
      </w:tr>
    </w:tbl>
    <w:p>
      <w:pPr>
        <w:spacing w:before="120" w:after="120" w:line="288" w:lineRule="auto"/>
        <w:ind w:left="0"/>
        <w:jc w:val="left"/>
      </w:pPr>
      <w:r>
        <w:rPr>
          <w:rFonts w:eastAsia="等线" w:ascii="Arial" w:cs="Arial" w:hAnsi="Arial"/>
          <w:sz w:val="22"/>
        </w:rPr>
        <w:t>这几个字段都要保留。</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2" w:id="52"/>
      <w:r>
        <w:rPr>
          <w:rFonts w:eastAsia="等线" w:ascii="Arial" w:cs="Arial" w:hAnsi="Arial"/>
          <w:color w:val="3370ff"/>
          <w:sz w:val="32"/>
        </w:rPr>
        <w:t xml:space="preserve">6. </w:t>
      </w:r>
      <w:r>
        <w:rPr>
          <w:rFonts w:eastAsia="等线" w:ascii="Arial" w:cs="Arial" w:hAnsi="Arial"/>
          <w:b w:val="true"/>
          <w:sz w:val="32"/>
        </w:rPr>
        <w:t>返修车怎么处理？</w:t>
      </w:r>
      <w:bookmarkEnd w:id="52"/>
    </w:p>
    <w:p>
      <w:pPr>
        <w:spacing w:before="120" w:after="120" w:line="288" w:lineRule="auto"/>
        <w:ind w:left="0"/>
        <w:jc w:val="left"/>
      </w:pPr>
      <w:r>
        <w:rPr>
          <w:rFonts w:eastAsia="等线" w:ascii="Arial" w:cs="Arial" w:hAnsi="Arial"/>
          <w:sz w:val="22"/>
        </w:rPr>
        <w:t>返修车要分情况。</w:t>
      </w:r>
    </w:p>
    <w:p>
      <w:pPr>
        <w:pStyle w:val="3"/>
        <w:spacing w:before="300" w:after="120" w:line="288" w:lineRule="auto"/>
        <w:ind w:left="0"/>
        <w:jc w:val="left"/>
        <w:outlineLvl w:val="2"/>
      </w:pPr>
      <w:bookmarkStart w:name="heading_53" w:id="53"/>
      <w:r>
        <w:rPr>
          <w:rFonts w:eastAsia="等线" w:ascii="Arial" w:cs="Arial" w:hAnsi="Arial"/>
          <w:b w:val="true"/>
          <w:sz w:val="30"/>
        </w:rPr>
        <w:t>情况一：返修后合格</w:t>
      </w:r>
      <w:bookmarkEnd w:id="53"/>
    </w:p>
    <w:p>
      <w:pPr>
        <w:spacing w:before="120" w:after="120" w:line="288" w:lineRule="auto"/>
        <w:ind w:left="0"/>
        <w:jc w:val="left"/>
      </w:pPr>
      <w:r>
        <w:rPr>
          <w:rFonts w:eastAsia="等线" w:ascii="Arial" w:cs="Arial" w:hAnsi="Arial"/>
          <w:sz w:val="22"/>
        </w:rPr>
        <w:t>比如一辆车第一次检测不合格，重新喷漆、返修线束、重新检测，最后合格入库。</w:t>
      </w:r>
    </w:p>
    <w:p>
      <w:pPr>
        <w:spacing w:before="120" w:after="120" w:line="288" w:lineRule="auto"/>
        <w:ind w:left="0"/>
        <w:jc w:val="left"/>
      </w:pPr>
      <w:r>
        <w:rPr>
          <w:rFonts w:eastAsia="等线" w:ascii="Arial" w:cs="Arial" w:hAnsi="Arial"/>
          <w:sz w:val="22"/>
        </w:rPr>
        <w:t>处理方式：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分母算 1 辆合格车；分子包括它原生产过程 + 返修过程的额外能耗和材料。</w:t>
            </w:r>
          </w:p>
        </w:tc>
      </w:tr>
    </w:tbl>
    <w:p>
      <w:pPr>
        <w:spacing w:before="120" w:after="120" w:line="288" w:lineRule="auto"/>
        <w:ind w:left="0"/>
        <w:jc w:val="left"/>
      </w:pPr>
      <w:r>
        <w:rPr>
          <w:rFonts w:eastAsia="等线" w:ascii="Arial" w:cs="Arial" w:hAnsi="Arial"/>
          <w:sz w:val="22"/>
        </w:rPr>
        <w:t>也就是：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这辆车只算一次产出，但碳排要算完整。</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4" w:id="54"/>
      <w:r>
        <w:rPr>
          <w:rFonts w:eastAsia="等线" w:ascii="Arial" w:cs="Arial" w:hAnsi="Arial"/>
          <w:b w:val="true"/>
          <w:sz w:val="30"/>
        </w:rPr>
        <w:t>情况二：最终报废</w:t>
      </w:r>
      <w:bookmarkEnd w:id="54"/>
    </w:p>
    <w:p>
      <w:pPr>
        <w:spacing w:before="120" w:after="120" w:line="288" w:lineRule="auto"/>
        <w:ind w:left="0"/>
        <w:jc w:val="left"/>
      </w:pPr>
      <w:r>
        <w:rPr>
          <w:rFonts w:eastAsia="等线" w:ascii="Arial" w:cs="Arial" w:hAnsi="Arial"/>
          <w:sz w:val="22"/>
        </w:rPr>
        <w:t>如果车辆或车身最终报废，没有形成可销售产品：</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不进入合格车分母；它消耗的材料、能源、废弃物处理排放进入分子。</w:t>
            </w:r>
          </w:p>
        </w:tc>
      </w:tr>
    </w:tbl>
    <w:p>
      <w:pPr>
        <w:spacing w:before="120" w:after="120" w:line="288" w:lineRule="auto"/>
        <w:ind w:left="0"/>
        <w:jc w:val="left"/>
      </w:pPr>
      <w:r>
        <w:rPr>
          <w:rFonts w:eastAsia="等线" w:ascii="Arial" w:cs="Arial" w:hAnsi="Arial"/>
          <w:sz w:val="22"/>
        </w:rPr>
        <w:t>如果报废金属被回收，还要单独处理废料回收边界。</w:t>
      </w:r>
    </w:p>
    <w:p>
      <w:pPr>
        <w:spacing w:before="120" w:after="120" w:line="288" w:lineRule="auto"/>
        <w:ind w:left="0"/>
        <w:jc w:val="left"/>
      </w:pPr>
      <w:r>
        <w:rPr>
          <w:rFonts w:eastAsia="等线" w:ascii="Arial" w:cs="Arial" w:hAnsi="Arial"/>
          <w:sz w:val="22"/>
        </w:rPr>
        <w:t>注意：废钢、废铝回收是否给产品扣减排放，要看你采用的产品碳足迹方法和分配规则，不能随意“卖了废料就减碳”。</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5" w:id="55"/>
      <w:r>
        <w:rPr>
          <w:rFonts w:eastAsia="等线" w:ascii="Arial" w:cs="Arial" w:hAnsi="Arial"/>
          <w:b w:val="true"/>
          <w:sz w:val="30"/>
        </w:rPr>
        <w:t>情况三：降级销售</w:t>
      </w:r>
      <w:bookmarkEnd w:id="55"/>
    </w:p>
    <w:p>
      <w:pPr>
        <w:spacing w:before="120" w:after="120" w:line="288" w:lineRule="auto"/>
        <w:ind w:left="0"/>
        <w:jc w:val="left"/>
      </w:pPr>
      <w:r>
        <w:rPr>
          <w:rFonts w:eastAsia="等线" w:ascii="Arial" w:cs="Arial" w:hAnsi="Arial"/>
          <w:sz w:val="22"/>
        </w:rPr>
        <w:t>比如原本 A 级产品，最后降级为 B 级、内部测试车、非正常商品车。</w:t>
      </w:r>
    </w:p>
    <w:p>
      <w:pPr>
        <w:spacing w:before="120" w:after="120" w:line="288" w:lineRule="auto"/>
        <w:ind w:left="0"/>
        <w:jc w:val="left"/>
      </w:pPr>
      <w:r>
        <w:rPr>
          <w:rFonts w:eastAsia="等线" w:ascii="Arial" w:cs="Arial" w:hAnsi="Arial"/>
          <w:sz w:val="22"/>
        </w:rPr>
        <w:t>这类要单独标记：</w:t>
      </w:r>
    </w:p>
    <w:p>
      <w:pPr>
        <w:spacing w:before="120" w:after="120" w:line="288" w:lineRule="auto"/>
        <w:ind w:left="0"/>
      </w:pPr>
      <w:r>
        <w:object>
          <v:shape id="_x0000_i1061" style="width:414pt;height:109pt;mso-width-percent:0;mso-height-percent:0;mso-width-percent:0;mso-height-percent:0" type="#_x0000_t75" o:ole="">
            <v:imagedata r:id="rId81" o:title=""/>
          </v:shape>
          <o:OLEObject DrawAspect="Icon" ObjectID="_1718471255" ProgID="Excel.Sheet.12" ShapeID="_x0000_i1061" Type="Embed" r:id="rId80"/>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 w:id="56"/>
      <w:r>
        <w:rPr>
          <w:rFonts w:eastAsia="等线" w:ascii="Arial" w:cs="Arial" w:hAnsi="Arial"/>
          <w:color w:val="3370ff"/>
          <w:sz w:val="32"/>
        </w:rPr>
        <w:t xml:space="preserve">7. </w:t>
      </w:r>
      <w:r>
        <w:rPr>
          <w:rFonts w:eastAsia="等线" w:ascii="Arial" w:cs="Arial" w:hAnsi="Arial"/>
          <w:b w:val="true"/>
          <w:sz w:val="32"/>
        </w:rPr>
        <w:t>Scope 1/2/3 分摊到单车时，具体怎么做？</w:t>
      </w:r>
      <w:bookmarkEnd w:id="56"/>
    </w:p>
    <w:p>
      <w:pPr>
        <w:spacing w:before="120" w:after="120" w:line="288" w:lineRule="auto"/>
        <w:ind w:left="0"/>
        <w:jc w:val="left"/>
      </w:pPr>
      <w:r>
        <w:rPr>
          <w:rFonts w:eastAsia="等线" w:ascii="Arial" w:cs="Arial" w:hAnsi="Arial"/>
          <w:sz w:val="22"/>
        </w:rPr>
        <w:t>推荐你按优先级做，不要一上来就全厂平均。</w:t>
      </w:r>
    </w:p>
    <w:p>
      <w:pPr>
        <w:pStyle w:val="3"/>
        <w:spacing w:before="300" w:after="120" w:line="288" w:lineRule="auto"/>
        <w:ind w:left="0"/>
        <w:jc w:val="left"/>
        <w:outlineLvl w:val="2"/>
      </w:pPr>
      <w:bookmarkStart w:name="heading_57" w:id="57"/>
      <w:r>
        <w:rPr>
          <w:rFonts w:eastAsia="等线" w:ascii="Arial" w:cs="Arial" w:hAnsi="Arial"/>
          <w:b w:val="true"/>
          <w:sz w:val="30"/>
        </w:rPr>
        <w:t>Scope 1：直接燃料排放</w:t>
      </w:r>
      <w:bookmarkEnd w:id="57"/>
    </w:p>
    <w:p>
      <w:pPr>
        <w:spacing w:before="120" w:after="120" w:line="288" w:lineRule="auto"/>
        <w:ind w:left="0"/>
        <w:jc w:val="left"/>
      </w:pPr>
      <w:r>
        <w:rPr>
          <w:rFonts w:eastAsia="等线" w:ascii="Arial" w:cs="Arial" w:hAnsi="Arial"/>
          <w:sz w:val="22"/>
        </w:rPr>
        <w:t>比如天然气、柴油、LPG、制冷剂。</w:t>
      </w:r>
    </w:p>
    <w:p>
      <w:pPr>
        <w:spacing w:before="120" w:after="120" w:line="288" w:lineRule="auto"/>
        <w:ind w:left="0"/>
        <w:jc w:val="left"/>
      </w:pPr>
      <w:r>
        <w:rPr>
          <w:rFonts w:eastAsia="等线" w:ascii="Arial" w:cs="Arial" w:hAnsi="Arial"/>
          <w:sz w:val="22"/>
        </w:rPr>
        <w:t>分摊优先级：</w:t>
      </w:r>
    </w:p>
    <w:p>
      <w:pPr>
        <w:spacing w:before="120" w:after="120" w:line="288" w:lineRule="auto"/>
        <w:ind w:left="0"/>
      </w:pPr>
      <w:r>
        <w:object>
          <v:shape id="_x0000_i1062" style="width:414pt;height:90pt;mso-width-percent:0;mso-height-percent:0;mso-width-percent:0;mso-height-percent:0" type="#_x0000_t75" o:ole="">
            <v:imagedata r:id="rId83" o:title=""/>
          </v:shape>
          <o:OLEObject DrawAspect="Icon" ObjectID="_1718471256" ProgID="Excel.Sheet.12" ShapeID="_x0000_i1062" Type="Embed" r:id="rId8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例如涂装天然气最好按：</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车型喷涂面积 × 喷涂次数 × 烘干时间 × 产量</w:t>
            </w:r>
          </w:p>
        </w:tc>
      </w:tr>
    </w:tbl>
    <w:p>
      <w:pPr>
        <w:spacing w:before="120" w:after="120" w:line="288" w:lineRule="auto"/>
        <w:ind w:left="0"/>
        <w:jc w:val="left"/>
      </w:pPr>
      <w:r>
        <w:rPr>
          <w:rFonts w:eastAsia="等线" w:ascii="Arial" w:cs="Arial" w:hAnsi="Arial"/>
          <w:sz w:val="22"/>
        </w:rPr>
        <w:t>而不是简单按车辆数量。</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8" w:id="58"/>
      <w:r>
        <w:rPr>
          <w:rFonts w:eastAsia="等线" w:ascii="Arial" w:cs="Arial" w:hAnsi="Arial"/>
          <w:b w:val="true"/>
          <w:sz w:val="30"/>
        </w:rPr>
        <w:t>Scope 2：外购电力和蒸汽</w:t>
      </w:r>
      <w:bookmarkEnd w:id="58"/>
    </w:p>
    <w:p>
      <w:pPr>
        <w:spacing w:before="120" w:after="120" w:line="288" w:lineRule="auto"/>
        <w:ind w:left="0"/>
        <w:jc w:val="left"/>
      </w:pPr>
      <w:r>
        <w:rPr>
          <w:rFonts w:eastAsia="等线" w:ascii="Arial" w:cs="Arial" w:hAnsi="Arial"/>
          <w:sz w:val="22"/>
        </w:rPr>
        <w:t>分摊优先级：</w:t>
      </w:r>
    </w:p>
    <w:p>
      <w:pPr>
        <w:spacing w:before="120" w:after="120" w:line="288" w:lineRule="auto"/>
        <w:ind w:left="0"/>
      </w:pPr>
      <w:r>
        <w:object>
          <v:shape id="_x0000_i1063" style="width:414pt;height:90pt;mso-width-percent:0;mso-height-percent:0;mso-width-percent:0;mso-height-percent:0" type="#_x0000_t75" o:ole="">
            <v:imagedata r:id="rId85" o:title=""/>
          </v:shape>
          <o:OLEObject DrawAspect="Icon" ObjectID="_1718471257" ProgID="Excel.Sheet.12" ShapeID="_x0000_i1063" Type="Embed" r:id="rId8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比如：</w:t>
      </w:r>
    </w:p>
    <w:p>
      <w:pPr>
        <w:numPr>
          <w:numId w:val="122"/>
        </w:numPr>
        <w:spacing w:before="120" w:after="120" w:line="288" w:lineRule="auto"/>
        <w:ind w:left="0"/>
        <w:jc w:val="left"/>
      </w:pPr>
      <w:r>
        <w:rPr>
          <w:rFonts w:eastAsia="等线" w:ascii="Arial" w:cs="Arial" w:hAnsi="Arial"/>
          <w:sz w:val="22"/>
        </w:rPr>
        <w:t xml:space="preserve"> 冲压：按冲压件数量/吨位/机器小时 </w:t>
      </w:r>
    </w:p>
    <w:p>
      <w:pPr>
        <w:numPr>
          <w:numId w:val="123"/>
        </w:numPr>
        <w:spacing w:before="120" w:after="120" w:line="288" w:lineRule="auto"/>
        <w:ind w:left="0"/>
        <w:jc w:val="left"/>
      </w:pPr>
      <w:r>
        <w:rPr>
          <w:rFonts w:eastAsia="等线" w:ascii="Arial" w:cs="Arial" w:hAnsi="Arial"/>
          <w:sz w:val="22"/>
        </w:rPr>
        <w:t xml:space="preserve"> 焊装：按车身数量/机器人运行小时 </w:t>
      </w:r>
    </w:p>
    <w:p>
      <w:pPr>
        <w:numPr>
          <w:numId w:val="124"/>
        </w:numPr>
        <w:spacing w:before="120" w:after="120" w:line="288" w:lineRule="auto"/>
        <w:ind w:left="0"/>
        <w:jc w:val="left"/>
      </w:pPr>
      <w:r>
        <w:rPr>
          <w:rFonts w:eastAsia="等线" w:ascii="Arial" w:cs="Arial" w:hAnsi="Arial"/>
          <w:sz w:val="22"/>
        </w:rPr>
        <w:t xml:space="preserve"> 涂装：按车身面积/喷涂工艺 </w:t>
      </w:r>
    </w:p>
    <w:p>
      <w:pPr>
        <w:numPr>
          <w:numId w:val="125"/>
        </w:numPr>
        <w:spacing w:before="120" w:after="120" w:line="288" w:lineRule="auto"/>
        <w:ind w:left="0"/>
        <w:jc w:val="left"/>
      </w:pPr>
      <w:r>
        <w:rPr>
          <w:rFonts w:eastAsia="等线" w:ascii="Arial" w:cs="Arial" w:hAnsi="Arial"/>
          <w:sz w:val="22"/>
        </w:rPr>
        <w:t xml:space="preserve"> 总装：按标准工时/产量 </w:t>
      </w:r>
    </w:p>
    <w:p>
      <w:pPr>
        <w:numPr>
          <w:numId w:val="126"/>
        </w:numPr>
        <w:spacing w:before="120" w:after="120" w:line="288" w:lineRule="auto"/>
        <w:ind w:left="0"/>
        <w:jc w:val="left"/>
      </w:pPr>
      <w:r>
        <w:rPr>
          <w:rFonts w:eastAsia="等线" w:ascii="Arial" w:cs="Arial" w:hAnsi="Arial"/>
          <w:sz w:val="22"/>
        </w:rPr>
        <w:t xml:space="preserve"> 公用工程：按各车间能源占比或面积分摊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9" w:id="59"/>
      <w:r>
        <w:rPr>
          <w:rFonts w:eastAsia="等线" w:ascii="Arial" w:cs="Arial" w:hAnsi="Arial"/>
          <w:b w:val="true"/>
          <w:sz w:val="30"/>
        </w:rPr>
        <w:t>Scope 3：不能简单平均</w:t>
      </w:r>
      <w:bookmarkEnd w:id="59"/>
    </w:p>
    <w:p>
      <w:pPr>
        <w:spacing w:before="120" w:after="120" w:line="288" w:lineRule="auto"/>
        <w:ind w:left="0"/>
        <w:jc w:val="left"/>
      </w:pPr>
      <w:r>
        <w:rPr>
          <w:rFonts w:eastAsia="等线" w:ascii="Arial" w:cs="Arial" w:hAnsi="Arial"/>
          <w:sz w:val="22"/>
        </w:rPr>
        <w:t>Scope 3 特别不适合直接平均。</w:t>
      </w:r>
    </w:p>
    <w:p>
      <w:pPr>
        <w:spacing w:before="120" w:after="120" w:line="288" w:lineRule="auto"/>
        <w:ind w:left="0"/>
        <w:jc w:val="left"/>
      </w:pPr>
      <w:r>
        <w:rPr>
          <w:rFonts w:eastAsia="等线" w:ascii="Arial" w:cs="Arial" w:hAnsi="Arial"/>
          <w:sz w:val="22"/>
        </w:rPr>
        <w:t>比如外购材料排放，应该按 BOM：</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单车某材料重量 × 材料排放因子</w:t>
            </w:r>
          </w:p>
        </w:tc>
      </w:tr>
    </w:tbl>
    <w:p>
      <w:pPr>
        <w:spacing w:before="120" w:after="120" w:line="288" w:lineRule="auto"/>
        <w:ind w:left="0"/>
        <w:jc w:val="left"/>
      </w:pPr>
      <w:r>
        <w:rPr>
          <w:rFonts w:eastAsia="等线" w:ascii="Arial" w:cs="Arial" w:hAnsi="Arial"/>
          <w:sz w:val="22"/>
        </w:rPr>
        <w:t>例如：</w:t>
      </w:r>
    </w:p>
    <w:p>
      <w:pPr>
        <w:spacing w:before="120" w:after="120" w:line="288" w:lineRule="auto"/>
        <w:ind w:left="0"/>
      </w:pPr>
      <w:r>
        <w:object>
          <v:shape id="_x0000_i1064" style="width:414pt;height:128pt;mso-width-percent:0;mso-height-percent:0;mso-width-percent:0;mso-height-percent:0" type="#_x0000_t75" o:ole="">
            <v:imagedata r:id="rId87" o:title=""/>
          </v:shape>
          <o:OLEObject DrawAspect="Icon" ObjectID="_1718471258" ProgID="Excel.Sheet.12" ShapeID="_x0000_i1064" Type="Embed" r:id="rId8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Scope 3 的运输也是按车型相关物流算：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物料重量 × 运输距离 × 运输方式排放因子</w:t>
            </w:r>
          </w:p>
        </w:tc>
      </w:tr>
    </w:tbl>
    <w:p>
      <w:pPr>
        <w:spacing w:before="120" w:after="120" w:line="288" w:lineRule="auto"/>
        <w:ind w:left="0"/>
        <w:jc w:val="left"/>
      </w:pPr>
      <w:r>
        <w:rPr>
          <w:rFonts w:eastAsia="等线" w:ascii="Arial" w:cs="Arial" w:hAnsi="Arial"/>
          <w:sz w:val="22"/>
        </w:rPr>
        <w:t>而不是把全厂物流费平均掉。</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0" w:id="60"/>
      <w:r>
        <w:rPr>
          <w:rFonts w:eastAsia="等线" w:ascii="Arial" w:cs="Arial" w:hAnsi="Arial"/>
          <w:color w:val="3370ff"/>
          <w:sz w:val="32"/>
        </w:rPr>
        <w:t xml:space="preserve">8. </w:t>
      </w:r>
      <w:r>
        <w:rPr>
          <w:rFonts w:eastAsia="等线" w:ascii="Arial" w:cs="Arial" w:hAnsi="Arial"/>
          <w:b w:val="true"/>
          <w:sz w:val="32"/>
        </w:rPr>
        <w:t>平台里应该怎么设计这个逻辑？</w:t>
      </w:r>
      <w:bookmarkEnd w:id="60"/>
    </w:p>
    <w:p>
      <w:pPr>
        <w:spacing w:before="120" w:after="120" w:line="288" w:lineRule="auto"/>
        <w:ind w:left="0"/>
        <w:jc w:val="left"/>
      </w:pPr>
      <w:r>
        <w:rPr>
          <w:rFonts w:eastAsia="等线" w:ascii="Arial" w:cs="Arial" w:hAnsi="Arial"/>
          <w:sz w:val="22"/>
        </w:rPr>
        <w:t>我建议系统里把“组织碳盘查”和“产品碳足迹”拆成两个模块，但底层数据共享。</w:t>
      </w:r>
    </w:p>
    <w:p>
      <w:pPr>
        <w:pStyle w:val="3"/>
        <w:spacing w:before="300" w:after="120" w:line="288" w:lineRule="auto"/>
        <w:ind w:left="0"/>
        <w:jc w:val="left"/>
        <w:outlineLvl w:val="2"/>
      </w:pPr>
      <w:bookmarkStart w:name="heading_61" w:id="61"/>
      <w:r>
        <w:rPr>
          <w:rFonts w:eastAsia="等线" w:ascii="Arial" w:cs="Arial" w:hAnsi="Arial"/>
          <w:b w:val="true"/>
          <w:sz w:val="30"/>
        </w:rPr>
        <w:t>模块一：组织碳盘查</w:t>
      </w:r>
      <w:bookmarkEnd w:id="61"/>
    </w:p>
    <w:p>
      <w:pPr>
        <w:spacing w:before="120" w:after="120" w:line="288" w:lineRule="auto"/>
        <w:ind w:left="0"/>
        <w:jc w:val="left"/>
      </w:pPr>
      <w:r>
        <w:rPr>
          <w:rFonts w:eastAsia="等线" w:ascii="Arial" w:cs="Arial" w:hAnsi="Arial"/>
          <w:sz w:val="22"/>
        </w:rPr>
        <w:t>用于回答：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这个工厂/公司一年排了多少？</w:t>
            </w:r>
          </w:p>
        </w:tc>
      </w:tr>
    </w:tbl>
    <w:p>
      <w:pPr>
        <w:spacing w:before="120" w:after="120" w:line="288" w:lineRule="auto"/>
        <w:ind w:left="0"/>
        <w:jc w:val="left"/>
      </w:pPr>
      <w:r>
        <w:rPr>
          <w:rFonts w:eastAsia="等线" w:ascii="Arial" w:cs="Arial" w:hAnsi="Arial"/>
          <w:sz w:val="22"/>
        </w:rPr>
        <w:t>核心数据：</w:t>
      </w:r>
    </w:p>
    <w:p>
      <w:pPr>
        <w:numPr>
          <w:numId w:val="127"/>
        </w:numPr>
        <w:spacing w:before="120" w:after="120" w:line="288" w:lineRule="auto"/>
        <w:ind w:left="0"/>
        <w:jc w:val="left"/>
      </w:pPr>
      <w:r>
        <w:rPr>
          <w:rFonts w:eastAsia="等线" w:ascii="Arial" w:cs="Arial" w:hAnsi="Arial"/>
          <w:sz w:val="22"/>
        </w:rPr>
        <w:t xml:space="preserve"> Scope 1 燃料 </w:t>
      </w:r>
    </w:p>
    <w:p>
      <w:pPr>
        <w:numPr>
          <w:numId w:val="128"/>
        </w:numPr>
        <w:spacing w:before="120" w:after="120" w:line="288" w:lineRule="auto"/>
        <w:ind w:left="0"/>
        <w:jc w:val="left"/>
      </w:pPr>
      <w:r>
        <w:rPr>
          <w:rFonts w:eastAsia="等线" w:ascii="Arial" w:cs="Arial" w:hAnsi="Arial"/>
          <w:sz w:val="22"/>
        </w:rPr>
        <w:t xml:space="preserve"> Scope 2 电力/蒸汽 </w:t>
      </w:r>
    </w:p>
    <w:p>
      <w:pPr>
        <w:numPr>
          <w:numId w:val="129"/>
        </w:numPr>
        <w:spacing w:before="120" w:after="120" w:line="288" w:lineRule="auto"/>
        <w:ind w:left="0"/>
        <w:jc w:val="left"/>
      </w:pPr>
      <w:r>
        <w:rPr>
          <w:rFonts w:eastAsia="等线" w:ascii="Arial" w:cs="Arial" w:hAnsi="Arial"/>
          <w:sz w:val="22"/>
        </w:rPr>
        <w:t xml:space="preserve"> Scope 3 采购、物流、废弃物、差旅、通勤、产品使用等 </w:t>
      </w:r>
    </w:p>
    <w:p>
      <w:pPr>
        <w:numPr>
          <w:numId w:val="130"/>
        </w:numPr>
        <w:spacing w:before="120" w:after="120" w:line="288" w:lineRule="auto"/>
        <w:ind w:left="0"/>
        <w:jc w:val="left"/>
      </w:pPr>
      <w:r>
        <w:rPr>
          <w:rFonts w:eastAsia="等线" w:ascii="Arial" w:cs="Arial" w:hAnsi="Arial"/>
          <w:sz w:val="22"/>
        </w:rPr>
        <w:t xml:space="preserve"> 排放因子 </w:t>
      </w:r>
    </w:p>
    <w:p>
      <w:pPr>
        <w:numPr>
          <w:numId w:val="131"/>
        </w:numPr>
        <w:spacing w:before="120" w:after="120" w:line="288" w:lineRule="auto"/>
        <w:ind w:left="0"/>
        <w:jc w:val="left"/>
      </w:pPr>
      <w:r>
        <w:rPr>
          <w:rFonts w:eastAsia="等线" w:ascii="Arial" w:cs="Arial" w:hAnsi="Arial"/>
          <w:sz w:val="22"/>
        </w:rPr>
        <w:t xml:space="preserve"> 凭证 </w:t>
      </w:r>
    </w:p>
    <w:p>
      <w:pPr>
        <w:numPr>
          <w:numId w:val="132"/>
        </w:numPr>
        <w:spacing w:before="120" w:after="120" w:line="288" w:lineRule="auto"/>
        <w:ind w:left="0"/>
        <w:jc w:val="left"/>
      </w:pPr>
      <w:r>
        <w:rPr>
          <w:rFonts w:eastAsia="等线" w:ascii="Arial" w:cs="Arial" w:hAnsi="Arial"/>
          <w:sz w:val="22"/>
        </w:rPr>
        <w:t xml:space="preserve"> 审核状态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2" w:id="62"/>
      <w:r>
        <w:rPr>
          <w:rFonts w:eastAsia="等线" w:ascii="Arial" w:cs="Arial" w:hAnsi="Arial"/>
          <w:b w:val="true"/>
          <w:sz w:val="30"/>
        </w:rPr>
        <w:t>模块二：产品碳足迹</w:t>
      </w:r>
      <w:bookmarkEnd w:id="62"/>
    </w:p>
    <w:p>
      <w:pPr>
        <w:spacing w:before="120" w:after="120" w:line="288" w:lineRule="auto"/>
        <w:ind w:left="0"/>
        <w:jc w:val="left"/>
      </w:pPr>
      <w:r>
        <w:rPr>
          <w:rFonts w:eastAsia="等线" w:ascii="Arial" w:cs="Arial" w:hAnsi="Arial"/>
          <w:sz w:val="22"/>
        </w:rPr>
        <w:t>用于回答：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某车型一辆车排了多少？</w:t>
            </w:r>
          </w:p>
        </w:tc>
      </w:tr>
    </w:tbl>
    <w:p>
      <w:pPr>
        <w:spacing w:before="120" w:after="120" w:line="288" w:lineRule="auto"/>
        <w:ind w:left="0"/>
        <w:jc w:val="left"/>
      </w:pPr>
      <w:r>
        <w:rPr>
          <w:rFonts w:eastAsia="等线" w:ascii="Arial" w:cs="Arial" w:hAnsi="Arial"/>
          <w:sz w:val="22"/>
        </w:rPr>
        <w:t>核心数据：</w:t>
      </w:r>
    </w:p>
    <w:p>
      <w:pPr>
        <w:numPr>
          <w:numId w:val="133"/>
        </w:numPr>
        <w:spacing w:before="120" w:after="120" w:line="288" w:lineRule="auto"/>
        <w:ind w:left="0"/>
        <w:jc w:val="left"/>
      </w:pPr>
      <w:r>
        <w:rPr>
          <w:rFonts w:eastAsia="等线" w:ascii="Arial" w:cs="Arial" w:hAnsi="Arial"/>
          <w:sz w:val="22"/>
        </w:rPr>
        <w:t xml:space="preserve"> 车型 </w:t>
      </w:r>
    </w:p>
    <w:p>
      <w:pPr>
        <w:numPr>
          <w:numId w:val="134"/>
        </w:numPr>
        <w:spacing w:before="120" w:after="120" w:line="288" w:lineRule="auto"/>
        <w:ind w:left="0"/>
        <w:jc w:val="left"/>
      </w:pPr>
      <w:r>
        <w:rPr>
          <w:rFonts w:eastAsia="等线" w:ascii="Arial" w:cs="Arial" w:hAnsi="Arial"/>
          <w:sz w:val="22"/>
        </w:rPr>
        <w:t xml:space="preserve"> BOM </w:t>
      </w:r>
    </w:p>
    <w:p>
      <w:pPr>
        <w:numPr>
          <w:numId w:val="135"/>
        </w:numPr>
        <w:spacing w:before="120" w:after="120" w:line="288" w:lineRule="auto"/>
        <w:ind w:left="0"/>
        <w:jc w:val="left"/>
      </w:pPr>
      <w:r>
        <w:rPr>
          <w:rFonts w:eastAsia="等线" w:ascii="Arial" w:cs="Arial" w:hAnsi="Arial"/>
          <w:sz w:val="22"/>
        </w:rPr>
        <w:t xml:space="preserve"> 工艺路线 </w:t>
      </w:r>
    </w:p>
    <w:p>
      <w:pPr>
        <w:numPr>
          <w:numId w:val="136"/>
        </w:numPr>
        <w:spacing w:before="120" w:after="120" w:line="288" w:lineRule="auto"/>
        <w:ind w:left="0"/>
        <w:jc w:val="left"/>
      </w:pPr>
      <w:r>
        <w:rPr>
          <w:rFonts w:eastAsia="等线" w:ascii="Arial" w:cs="Arial" w:hAnsi="Arial"/>
          <w:sz w:val="22"/>
        </w:rPr>
        <w:t xml:space="preserve"> 产线 </w:t>
      </w:r>
    </w:p>
    <w:p>
      <w:pPr>
        <w:numPr>
          <w:numId w:val="137"/>
        </w:numPr>
        <w:spacing w:before="120" w:after="120" w:line="288" w:lineRule="auto"/>
        <w:ind w:left="0"/>
        <w:jc w:val="left"/>
      </w:pPr>
      <w:r>
        <w:rPr>
          <w:rFonts w:eastAsia="等线" w:ascii="Arial" w:cs="Arial" w:hAnsi="Arial"/>
          <w:sz w:val="22"/>
        </w:rPr>
        <w:t xml:space="preserve"> 产量 </w:t>
      </w:r>
    </w:p>
    <w:p>
      <w:pPr>
        <w:numPr>
          <w:numId w:val="138"/>
        </w:numPr>
        <w:spacing w:before="120" w:after="120" w:line="288" w:lineRule="auto"/>
        <w:ind w:left="0"/>
        <w:jc w:val="left"/>
      </w:pPr>
      <w:r>
        <w:rPr>
          <w:rFonts w:eastAsia="等线" w:ascii="Arial" w:cs="Arial" w:hAnsi="Arial"/>
          <w:sz w:val="22"/>
        </w:rPr>
        <w:t xml:space="preserve"> 合格数量 </w:t>
      </w:r>
    </w:p>
    <w:p>
      <w:pPr>
        <w:numPr>
          <w:numId w:val="139"/>
        </w:numPr>
        <w:spacing w:before="120" w:after="120" w:line="288" w:lineRule="auto"/>
        <w:ind w:left="0"/>
        <w:jc w:val="left"/>
      </w:pPr>
      <w:r>
        <w:rPr>
          <w:rFonts w:eastAsia="等线" w:ascii="Arial" w:cs="Arial" w:hAnsi="Arial"/>
          <w:sz w:val="22"/>
        </w:rPr>
        <w:t xml:space="preserve"> 报废数量 </w:t>
      </w:r>
    </w:p>
    <w:p>
      <w:pPr>
        <w:numPr>
          <w:numId w:val="140"/>
        </w:numPr>
        <w:spacing w:before="120" w:after="120" w:line="288" w:lineRule="auto"/>
        <w:ind w:left="0"/>
        <w:jc w:val="left"/>
      </w:pPr>
      <w:r>
        <w:rPr>
          <w:rFonts w:eastAsia="等线" w:ascii="Arial" w:cs="Arial" w:hAnsi="Arial"/>
          <w:sz w:val="22"/>
        </w:rPr>
        <w:t xml:space="preserve"> 返修数量 </w:t>
      </w:r>
    </w:p>
    <w:p>
      <w:pPr>
        <w:numPr>
          <w:numId w:val="141"/>
        </w:numPr>
        <w:spacing w:before="120" w:after="120" w:line="288" w:lineRule="auto"/>
        <w:ind w:left="0"/>
        <w:jc w:val="left"/>
      </w:pPr>
      <w:r>
        <w:rPr>
          <w:rFonts w:eastAsia="等线" w:ascii="Arial" w:cs="Arial" w:hAnsi="Arial"/>
          <w:sz w:val="22"/>
        </w:rPr>
        <w:t xml:space="preserve"> 返修工艺 </w:t>
      </w:r>
    </w:p>
    <w:p>
      <w:pPr>
        <w:numPr>
          <w:numId w:val="142"/>
        </w:numPr>
        <w:spacing w:before="120" w:after="120" w:line="288" w:lineRule="auto"/>
        <w:ind w:left="0"/>
        <w:jc w:val="left"/>
      </w:pPr>
      <w:r>
        <w:rPr>
          <w:rFonts w:eastAsia="等线" w:ascii="Arial" w:cs="Arial" w:hAnsi="Arial"/>
          <w:sz w:val="22"/>
        </w:rPr>
        <w:t xml:space="preserve"> 车间能耗 </w:t>
      </w:r>
    </w:p>
    <w:p>
      <w:pPr>
        <w:numPr>
          <w:numId w:val="143"/>
        </w:numPr>
        <w:spacing w:before="120" w:after="120" w:line="288" w:lineRule="auto"/>
        <w:ind w:left="0"/>
        <w:jc w:val="left"/>
      </w:pPr>
      <w:r>
        <w:rPr>
          <w:rFonts w:eastAsia="等线" w:ascii="Arial" w:cs="Arial" w:hAnsi="Arial"/>
          <w:sz w:val="22"/>
        </w:rPr>
        <w:t xml:space="preserve"> 物流 </w:t>
      </w:r>
    </w:p>
    <w:p>
      <w:pPr>
        <w:numPr>
          <w:numId w:val="144"/>
        </w:numPr>
        <w:spacing w:before="120" w:after="120" w:line="288" w:lineRule="auto"/>
        <w:ind w:left="0"/>
        <w:jc w:val="left"/>
      </w:pPr>
      <w:r>
        <w:rPr>
          <w:rFonts w:eastAsia="等线" w:ascii="Arial" w:cs="Arial" w:hAnsi="Arial"/>
          <w:sz w:val="22"/>
        </w:rPr>
        <w:t xml:space="preserve"> 使用阶段假设 </w:t>
      </w:r>
    </w:p>
    <w:p>
      <w:pPr>
        <w:numPr>
          <w:numId w:val="145"/>
        </w:numPr>
        <w:spacing w:before="120" w:after="120" w:line="288" w:lineRule="auto"/>
        <w:ind w:left="0"/>
        <w:jc w:val="left"/>
      </w:pPr>
      <w:r>
        <w:rPr>
          <w:rFonts w:eastAsia="等线" w:ascii="Arial" w:cs="Arial" w:hAnsi="Arial"/>
          <w:sz w:val="22"/>
        </w:rPr>
        <w:t xml:space="preserve"> 报废回收假设 </w:t>
      </w:r>
    </w:p>
    <w:p>
      <w:pPr>
        <w:numPr>
          <w:numId w:val="146"/>
        </w:numPr>
        <w:spacing w:before="120" w:after="120" w:line="288" w:lineRule="auto"/>
        <w:ind w:left="0"/>
        <w:jc w:val="left"/>
      </w:pPr>
      <w:r>
        <w:rPr>
          <w:rFonts w:eastAsia="等线" w:ascii="Arial" w:cs="Arial" w:hAnsi="Arial"/>
          <w:sz w:val="22"/>
        </w:rPr>
        <w:t xml:space="preserve"> 分摊规则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3" w:id="63"/>
      <w:r>
        <w:rPr>
          <w:rFonts w:eastAsia="等线" w:ascii="Arial" w:cs="Arial" w:hAnsi="Arial"/>
          <w:b w:val="true"/>
          <w:sz w:val="30"/>
        </w:rPr>
        <w:t>模块三：产量与质量损失</w:t>
      </w:r>
      <w:bookmarkEnd w:id="63"/>
    </w:p>
    <w:p>
      <w:pPr>
        <w:spacing w:before="120" w:after="120" w:line="288" w:lineRule="auto"/>
        <w:ind w:left="0"/>
        <w:jc w:val="left"/>
      </w:pPr>
      <w:r>
        <w:rPr>
          <w:rFonts w:eastAsia="等线" w:ascii="Arial" w:cs="Arial" w:hAnsi="Arial"/>
          <w:sz w:val="22"/>
        </w:rPr>
        <w:t>这是你刚刚问到的关键模块。</w:t>
      </w:r>
    </w:p>
    <w:p>
      <w:pPr>
        <w:spacing w:before="120" w:after="120" w:line="288" w:lineRule="auto"/>
        <w:ind w:left="0"/>
        <w:jc w:val="left"/>
      </w:pPr>
      <w:r>
        <w:rPr>
          <w:rFonts w:eastAsia="等线" w:ascii="Arial" w:cs="Arial" w:hAnsi="Arial"/>
          <w:sz w:val="22"/>
        </w:rPr>
        <w:t>建议至少有这些字段：</w:t>
      </w:r>
    </w:p>
    <w:p>
      <w:pPr>
        <w:spacing w:before="120" w:after="120" w:line="288" w:lineRule="auto"/>
        <w:ind w:left="0"/>
      </w:pPr>
      <w:r>
        <w:object>
          <v:shape id="_x0000_i1065" style="width:414pt;height:197pt;mso-width-percent:0;mso-height-percent:0;mso-width-percent:0;mso-height-percent:0" type="#_x0000_t75" o:ole="">
            <v:imagedata r:id="rId89" o:title=""/>
          </v:shape>
          <o:OLEObject DrawAspect="Icon" ObjectID="_1718471259" ProgID="Excel.Sheet.12" ShapeID="_x0000_i1065" Type="Embed" r:id="rId8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然后系统可以自动计算：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一次合格率</w:t>
              <w:br/>
              <w:t xml:space="preserve"> 报废率</w:t>
              <w:br/>
              <w:t xml:space="preserve"> 返修率</w:t>
              <w:br/>
              <w:t xml:space="preserve"> 单车制造碳排</w:t>
              <w:br/>
              <w:t xml:space="preserve"> 单车返修碳排</w:t>
              <w:br/>
              <w:t xml:space="preserve"> 质量损失碳排</w:t>
              <w:br/>
            </w:r>
            <w:r>
              <w:rPr>
                <w:rFonts w:eastAsia="等线" w:ascii="Arial" w:cs="Arial" w:hAnsi="Arial"/>
                <w:color w:val="646a73"/>
                <w:sz w:val="22"/>
              </w:rPr>
              <w:t xml:space="preserve"> 因不合格造成的额外碳排</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4" w:id="64"/>
      <w:r>
        <w:rPr>
          <w:rFonts w:eastAsia="等线" w:ascii="Arial" w:cs="Arial" w:hAnsi="Arial"/>
          <w:color w:val="3370ff"/>
          <w:sz w:val="32"/>
        </w:rPr>
        <w:t xml:space="preserve">9. </w:t>
      </w:r>
      <w:r>
        <w:rPr>
          <w:rFonts w:eastAsia="等线" w:ascii="Arial" w:cs="Arial" w:hAnsi="Arial"/>
          <w:b w:val="true"/>
          <w:sz w:val="32"/>
        </w:rPr>
        <w:t>最推荐的平台计算口径</w:t>
      </w:r>
      <w:bookmarkEnd w:id="64"/>
    </w:p>
    <w:p>
      <w:pPr>
        <w:spacing w:before="120" w:after="120" w:line="288" w:lineRule="auto"/>
        <w:ind w:left="0"/>
        <w:jc w:val="left"/>
      </w:pPr>
      <w:r>
        <w:rPr>
          <w:rFonts w:eastAsia="等线" w:ascii="Arial" w:cs="Arial" w:hAnsi="Arial"/>
          <w:sz w:val="22"/>
        </w:rPr>
        <w:t>对于汽车制造，我建议你在平台里默认提供三个口径。</w:t>
      </w:r>
    </w:p>
    <w:p>
      <w:pPr>
        <w:pStyle w:val="3"/>
        <w:spacing w:before="300" w:after="120" w:line="288" w:lineRule="auto"/>
        <w:ind w:left="0"/>
        <w:jc w:val="left"/>
        <w:outlineLvl w:val="2"/>
      </w:pPr>
      <w:bookmarkStart w:name="heading_65" w:id="65"/>
      <w:r>
        <w:rPr>
          <w:rFonts w:eastAsia="等线" w:ascii="Arial" w:cs="Arial" w:hAnsi="Arial"/>
          <w:b w:val="true"/>
          <w:sz w:val="30"/>
        </w:rPr>
        <w:t>口径 A：组织总排放</w:t>
      </w:r>
      <w:bookmarkEnd w:id="65"/>
    </w:p>
    <w:p>
      <w:pPr>
        <w:spacing w:before="120" w:after="120" w:line="288" w:lineRule="auto"/>
        <w:ind w:left="0"/>
        <w:jc w:val="left"/>
      </w:pPr>
      <w:r>
        <w:rPr>
          <w:rFonts w:eastAsia="等线" w:ascii="Arial" w:cs="Arial" w:hAnsi="Arial"/>
          <w:sz w:val="22"/>
        </w:rPr>
        <w:t>用于企业碳盘查报告：</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Scope 1 + Scope 2 + Scope 3 分类汇总</w:t>
            </w:r>
          </w:p>
        </w:tc>
      </w:tr>
    </w:tbl>
    <w:p>
      <w:pPr>
        <w:spacing w:before="120" w:after="120" w:line="288" w:lineRule="auto"/>
        <w:ind w:left="0"/>
        <w:jc w:val="left"/>
      </w:pPr>
      <w:r>
        <w:rPr>
          <w:rFonts w:eastAsia="等线" w:ascii="Arial" w:cs="Arial" w:hAnsi="Arial"/>
          <w:sz w:val="22"/>
        </w:rPr>
        <w:t>这个不分摊到单车，只是组织年度总量。</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6" w:id="66"/>
      <w:r>
        <w:rPr>
          <w:rFonts w:eastAsia="等线" w:ascii="Arial" w:cs="Arial" w:hAnsi="Arial"/>
          <w:b w:val="true"/>
          <w:sz w:val="30"/>
        </w:rPr>
        <w:t>口径 B：单车制造碳排</w:t>
      </w:r>
      <w:bookmarkEnd w:id="66"/>
    </w:p>
    <w:p>
      <w:pPr>
        <w:spacing w:before="120" w:after="120" w:line="288" w:lineRule="auto"/>
        <w:ind w:left="0"/>
        <w:jc w:val="left"/>
      </w:pPr>
      <w:r>
        <w:rPr>
          <w:rFonts w:eastAsia="等线" w:ascii="Arial" w:cs="Arial" w:hAnsi="Arial"/>
          <w:sz w:val="22"/>
        </w:rPr>
        <w:t>用于内部管理、客户问卷、供应链披露：</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分摊到车型的 Scope 1 + Scope 2 + 生产相关 Scope 3</w:t>
              <w:br/>
              <w:t xml:space="preserve"> ÷</w:t>
              <w:br/>
            </w:r>
            <w:r>
              <w:rPr>
                <w:rFonts w:eastAsia="等线" w:ascii="Arial" w:cs="Arial" w:hAnsi="Arial"/>
                <w:color w:val="646a73"/>
                <w:sz w:val="22"/>
              </w:rPr>
              <w:t xml:space="preserve"> 最终合格入库车辆数量</w:t>
            </w:r>
          </w:p>
        </w:tc>
      </w:tr>
    </w:tbl>
    <w:p>
      <w:pPr>
        <w:spacing w:before="120" w:after="120" w:line="288" w:lineRule="auto"/>
        <w:ind w:left="0"/>
        <w:jc w:val="left"/>
      </w:pPr>
      <w:r>
        <w:rPr>
          <w:rFonts w:eastAsia="等线" w:ascii="Arial" w:cs="Arial" w:hAnsi="Arial"/>
          <w:sz w:val="22"/>
        </w:rPr>
        <w:t>推荐分母：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合格入库数量</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7" w:id="67"/>
      <w:r>
        <w:rPr>
          <w:rFonts w:eastAsia="等线" w:ascii="Arial" w:cs="Arial" w:hAnsi="Arial"/>
          <w:b w:val="true"/>
          <w:sz w:val="30"/>
        </w:rPr>
        <w:t>口径 C：完整单车生命周期碳足迹</w:t>
      </w:r>
      <w:bookmarkEnd w:id="67"/>
    </w:p>
    <w:p>
      <w:pPr>
        <w:spacing w:before="120" w:after="120" w:line="288" w:lineRule="auto"/>
        <w:ind w:left="0"/>
        <w:jc w:val="left"/>
      </w:pPr>
      <w:r>
        <w:rPr>
          <w:rFonts w:eastAsia="等线" w:ascii="Arial" w:cs="Arial" w:hAnsi="Arial"/>
          <w:sz w:val="22"/>
        </w:rPr>
        <w:t>用于产品碳足迹、低碳车型、出口、营销、LCA：</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原材料 + 零部件制造 + 入厂物流 + 工厂制造 + 下游物流 + 使用阶段 + 维修维护 + 报废回收</w:t>
            </w:r>
          </w:p>
        </w:tc>
      </w:tr>
    </w:tbl>
    <w:p>
      <w:pPr>
        <w:spacing w:before="120" w:after="120" w:line="288" w:lineRule="auto"/>
        <w:ind w:left="0"/>
        <w:jc w:val="left"/>
      </w:pPr>
      <w:r>
        <w:rPr>
          <w:rFonts w:eastAsia="等线" w:ascii="Arial" w:cs="Arial" w:hAnsi="Arial"/>
          <w:sz w:val="22"/>
        </w:rPr>
        <w:t>推荐功能单位：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一辆满足特定配置、特定寿命里程、特定使用场景的车辆</w:t>
            </w:r>
          </w:p>
        </w:tc>
      </w:tr>
    </w:tbl>
    <w:p>
      <w:pPr>
        <w:spacing w:before="120" w:after="120" w:line="288" w:lineRule="auto"/>
        <w:ind w:left="0"/>
        <w:jc w:val="left"/>
      </w:pPr>
      <w:r>
        <w:rPr>
          <w:rFonts w:eastAsia="等线" w:ascii="Arial" w:cs="Arial" w:hAnsi="Arial"/>
          <w:sz w:val="22"/>
        </w:rPr>
        <w:t>例如：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一辆 2025 款某车型，在 200,000 km 生命周期内的碳足迹。</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p.s. 产品碳足迹通常包含生产前的零部件和物流，也包含生产过程废弃物；是否包含使用阶段和报废阶段，取决于你选择的是 cradle-to-gate 还是 cradle-to-grave 边界。</w:t>
      </w:r>
    </w:p>
    <w:p>
      <w:pPr>
        <w:spacing w:before="120" w:after="120" w:line="288" w:lineRule="auto"/>
        <w:ind w:left="0"/>
        <w:jc w:val="left"/>
      </w:pPr>
    </w:p>
    <w:p>
      <w:pPr>
        <w:pStyle w:val="1"/>
        <w:spacing w:before="380" w:after="140" w:line="288" w:lineRule="auto"/>
        <w:ind w:left="0"/>
        <w:jc w:val="left"/>
        <w:outlineLvl w:val="0"/>
      </w:pPr>
      <w:bookmarkStart w:name="heading_68" w:id="68"/>
      <w:r>
        <w:rPr>
          <w:rFonts w:eastAsia="等线" w:ascii="Arial" w:cs="Arial" w:hAnsi="Arial"/>
          <w:b w:val="true"/>
          <w:sz w:val="36"/>
        </w:rPr>
        <w:t>十、Magna和苹果前端供应链的通用设计 （开发向）</w:t>
      </w:r>
      <w:bookmarkEnd w:id="68"/>
    </w:p>
    <w:p>
      <w:pPr>
        <w:spacing w:before="120" w:after="120" w:line="288" w:lineRule="auto"/>
        <w:ind w:left="0"/>
        <w:jc w:val="left"/>
      </w:pPr>
    </w:p>
    <w:p>
      <w:pPr>
        <w:spacing w:before="120" w:after="120" w:line="288" w:lineRule="auto"/>
        <w:ind w:left="0"/>
        <w:jc w:val="left"/>
      </w:pPr>
      <w:r>
        <w:rPr>
          <w:rFonts w:eastAsia="等线" w:ascii="Arial" w:cs="Arial" w:hAnsi="Arial"/>
          <w:sz w:val="22"/>
        </w:rPr>
        <w:t>你的判断</w:t>
      </w:r>
      <w:r>
        <w:rPr>
          <w:rFonts w:eastAsia="等线" w:ascii="Arial" w:cs="Arial" w:hAnsi="Arial"/>
          <w:b w:val="true"/>
          <w:sz w:val="22"/>
        </w:rPr>
        <w:t>大方向是对的</w:t>
      </w:r>
      <w:r>
        <w:rPr>
          <w:rFonts w:eastAsia="等线" w:ascii="Arial" w:cs="Arial" w:hAnsi="Arial"/>
          <w:sz w:val="22"/>
        </w:rPr>
        <w:t>，但要补一个关键限定：</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如果 Magna 平台要做“整车产品 LCA / Cradle-to-Grave”，那它的开发 Scope 明显大于 Apple 前端供应链上游碳核查。</w:t>
            </w:r>
            <w:r>
              <w:rPr>
                <w:rFonts w:eastAsia="等线" w:ascii="Arial" w:cs="Arial" w:hAnsi="Arial"/>
                <w:color w:val="646a73"/>
                <w:sz w:val="22"/>
              </w:rPr>
              <w:br/>
            </w:r>
            <w:r>
              <w:rPr>
                <w:rFonts w:eastAsia="等线" w:ascii="Arial" w:cs="Arial" w:hAnsi="Arial"/>
                <w:color w:val="646a73"/>
                <w:sz w:val="22"/>
              </w:rPr>
              <w:t xml:space="preserve"> 但如果 Magna 只是作为“整车组装供应商”给 OEM 报制造端数据，那它也可能先做 </w:t>
            </w:r>
            <w:r>
              <w:rPr>
                <w:rFonts w:eastAsia="等线" w:ascii="Arial" w:cs="Arial" w:hAnsi="Arial"/>
                <w:b w:val="true"/>
                <w:color w:val="646a73"/>
                <w:sz w:val="22"/>
              </w:rPr>
              <w:t>Cradle-to-Gate</w:t>
            </w:r>
            <w:r>
              <w:rPr>
                <w:rFonts w:eastAsia="等线" w:ascii="Arial" w:cs="Arial" w:hAnsi="Arial"/>
                <w:color w:val="646a73"/>
                <w:sz w:val="22"/>
              </w:rPr>
              <w:t>，和 Apple 供应链这套逻辑非常接近。</w:t>
            </w:r>
          </w:p>
        </w:tc>
      </w:tr>
    </w:tbl>
    <w:p>
      <w:pPr>
        <w:spacing w:before="120" w:after="120" w:line="288" w:lineRule="auto"/>
        <w:ind w:left="0"/>
        <w:jc w:val="left"/>
      </w:pPr>
      <w:r>
        <w:rPr>
          <w:rFonts w:eastAsia="等线" w:ascii="Arial" w:cs="Arial" w:hAnsi="Arial"/>
          <w:sz w:val="22"/>
        </w:rPr>
        <w:t>Magna 官方本身有完整车辆制造能力，包括白车身、钢结构、多材料车身、全铝车型等完整制造能力；Magna Steyr 也能在单一工厂生产传统动力、插混、纯电等不同动力形式车辆。</w:t>
      </w:r>
    </w:p>
    <w:p>
      <w:pPr>
        <w:spacing w:before="120" w:after="120" w:line="288" w:lineRule="auto"/>
        <w:ind w:left="0"/>
        <w:jc w:val="left"/>
      </w:pPr>
      <w:r>
        <w:rPr>
          <w:rFonts w:eastAsia="等线" w:ascii="Arial" w:cs="Arial" w:hAnsi="Arial"/>
          <w:sz w:val="22"/>
        </w:rPr>
        <w:t xml:space="preserve"> 而车辆 LCA 如果做完整口径，通常会覆盖从原材料、车辆生产、电池制造、配送，到使用阶段、维修维护、报废回收的全生命周期。Green NCAP 的车辆 LCA 就是以车辆全生命周期为视角，并假设车辆寿命和行驶里程来计算。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9" w:id="69"/>
      <w:r>
        <w:rPr>
          <w:rFonts w:eastAsia="等线" w:ascii="Arial" w:cs="Arial" w:hAnsi="Arial"/>
          <w:color w:val="3370ff"/>
          <w:sz w:val="32"/>
        </w:rPr>
        <w:t xml:space="preserve">1. </w:t>
      </w:r>
      <w:r>
        <w:rPr>
          <w:rFonts w:eastAsia="等线" w:ascii="Arial" w:cs="Arial" w:hAnsi="Arial"/>
          <w:b w:val="true"/>
          <w:sz w:val="32"/>
        </w:rPr>
        <w:t>先把两类平台的边界说清楚</w:t>
      </w:r>
      <w:bookmarkEnd w:id="69"/>
    </w:p>
    <w:p>
      <w:pPr>
        <w:pStyle w:val="3"/>
        <w:spacing w:before="300" w:after="120" w:line="288" w:lineRule="auto"/>
        <w:ind w:left="0"/>
        <w:jc w:val="left"/>
        <w:outlineLvl w:val="2"/>
      </w:pPr>
      <w:bookmarkStart w:name="heading_70" w:id="70"/>
      <w:r>
        <w:rPr>
          <w:rFonts w:eastAsia="等线" w:ascii="Arial" w:cs="Arial" w:hAnsi="Arial"/>
          <w:b w:val="true"/>
          <w:sz w:val="30"/>
        </w:rPr>
        <w:t>A. Apple 前端供应链：更像 Cradle-to-Gate + 客户分摊</w:t>
      </w:r>
      <w:bookmarkEnd w:id="70"/>
    </w:p>
    <w:p>
      <w:pPr>
        <w:spacing w:before="120" w:after="120" w:line="288" w:lineRule="auto"/>
        <w:ind w:left="0"/>
        <w:jc w:val="left"/>
      </w:pPr>
      <w:r>
        <w:rPr>
          <w:rFonts w:eastAsia="等线" w:ascii="Arial" w:cs="Arial" w:hAnsi="Arial"/>
          <w:sz w:val="22"/>
        </w:rPr>
        <w:t>你上传的 Apple 文档本质上是供应商上游碳核算规范。它要求供应商计算与 Apple 生产相关的直接排放和上游排放，重点是 Scope 3 Category 1、3、4、5，再加 Scope 1/2 的直接运营排放。文档明确说 Output 1 是“供应商公司层面与 Apple 生产相关的上游排放”，Output 2 是“产品层面或功能单位层面的碳排放”。</w:t>
      </w:r>
    </w:p>
    <w:p>
      <w:pPr>
        <w:spacing w:before="120" w:after="120" w:line="288" w:lineRule="auto"/>
        <w:ind w:left="0"/>
        <w:jc w:val="left"/>
      </w:pPr>
      <w:r>
        <w:rPr>
          <w:rFonts w:eastAsia="等线" w:ascii="Arial" w:cs="Arial" w:hAnsi="Arial"/>
          <w:sz w:val="22"/>
        </w:rPr>
        <w:t>所以 Apple 这套更像：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供应商制造端 + 上游供应链 + 分摊给 Apple + 单位产品输出</w:t>
            </w:r>
          </w:p>
        </w:tc>
      </w:tr>
    </w:tbl>
    <w:p>
      <w:pPr>
        <w:spacing w:before="120" w:after="120" w:line="288" w:lineRule="auto"/>
        <w:ind w:left="0"/>
        <w:jc w:val="left"/>
      </w:pPr>
      <w:r>
        <w:rPr>
          <w:rFonts w:eastAsia="等线" w:ascii="Arial" w:cs="Arial" w:hAnsi="Arial"/>
          <w:sz w:val="22"/>
        </w:rPr>
        <w:t>它一般不关心消费者使用阶段，也不关心产品报废阶段，至少你这份文档里没有把使用阶段和生命末端作为核心模块。</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1" w:id="71"/>
      <w:r>
        <w:rPr>
          <w:rFonts w:eastAsia="等线" w:ascii="Arial" w:cs="Arial" w:hAnsi="Arial"/>
          <w:b w:val="true"/>
          <w:sz w:val="30"/>
        </w:rPr>
        <w:t>B. Magna 整车平台：可以从 Cradle-to-Gate 扩展到 Cradle-to-Grave</w:t>
      </w:r>
      <w:bookmarkEnd w:id="71"/>
    </w:p>
    <w:p>
      <w:pPr>
        <w:spacing w:before="120" w:after="120" w:line="288" w:lineRule="auto"/>
        <w:ind w:left="0"/>
        <w:jc w:val="left"/>
      </w:pPr>
      <w:r>
        <w:rPr>
          <w:rFonts w:eastAsia="等线" w:ascii="Arial" w:cs="Arial" w:hAnsi="Arial"/>
          <w:sz w:val="22"/>
        </w:rPr>
        <w:t>如果我们关注 Magna 的汽车组装部分，至少有两层：</w:t>
      </w:r>
    </w:p>
    <w:p>
      <w:pPr>
        <w:spacing w:before="120" w:after="120" w:line="288" w:lineRule="auto"/>
        <w:ind w:left="0"/>
        <w:jc w:val="left"/>
      </w:pPr>
      <w:r>
        <w:rPr>
          <w:rFonts w:eastAsia="等线" w:ascii="Arial" w:cs="Arial" w:hAnsi="Arial"/>
          <w:b w:val="true"/>
          <w:sz w:val="22"/>
        </w:rPr>
        <w:t>第一层：制造端 PCF / Cradle-to-Gate</w:t>
      </w:r>
    </w:p>
    <w:p>
      <w:pPr>
        <w:spacing w:before="120" w:after="120" w:line="288" w:lineRule="auto"/>
        <w:ind w:left="0"/>
        <w:jc w:val="left"/>
      </w:pPr>
      <w:r>
        <w:rPr>
          <w:rFonts w:eastAsia="等线" w:ascii="Arial" w:cs="Arial" w:hAnsi="Arial"/>
          <w:sz w:val="22"/>
        </w:rPr>
        <w:t>包括：</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零部件/材料 + 入厂物流 + 工厂燃料 + 工厂电力/蒸汽 + Scope 3 Cat.3 能源上游 + 生产废弃物 + 出厂前制造活动</w:t>
            </w:r>
          </w:p>
        </w:tc>
      </w:tr>
    </w:tbl>
    <w:p>
      <w:pPr>
        <w:spacing w:before="120" w:after="120" w:line="288" w:lineRule="auto"/>
        <w:ind w:left="0"/>
        <w:jc w:val="left"/>
      </w:pPr>
      <w:r>
        <w:rPr>
          <w:rFonts w:eastAsia="等线" w:ascii="Arial" w:cs="Arial" w:hAnsi="Arial"/>
          <w:sz w:val="22"/>
        </w:rPr>
        <w:t>这部分和 Apple 前端供应链高度相似。</w:t>
      </w:r>
    </w:p>
    <w:p>
      <w:pPr>
        <w:spacing w:before="120" w:after="120" w:line="288" w:lineRule="auto"/>
        <w:ind w:left="0"/>
        <w:jc w:val="left"/>
      </w:pPr>
      <w:r>
        <w:rPr>
          <w:rFonts w:eastAsia="等线" w:ascii="Arial" w:cs="Arial" w:hAnsi="Arial"/>
          <w:b w:val="true"/>
          <w:sz w:val="22"/>
        </w:rPr>
        <w:t>第二层：整车 LCA / Cradle-to-Grave</w:t>
      </w:r>
    </w:p>
    <w:p>
      <w:pPr>
        <w:spacing w:before="120" w:after="120" w:line="288" w:lineRule="auto"/>
        <w:ind w:left="0"/>
        <w:jc w:val="left"/>
      </w:pPr>
      <w:r>
        <w:rPr>
          <w:rFonts w:eastAsia="等线" w:ascii="Arial" w:cs="Arial" w:hAnsi="Arial"/>
          <w:sz w:val="22"/>
        </w:rPr>
        <w:t>继续增加：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出厂物流 + 使用阶段油耗/电耗 + 能源上游 + 维修保养 + 电池更换/维修 + 报废拆解 + 回收处置</w:t>
            </w:r>
          </w:p>
        </w:tc>
      </w:tr>
    </w:tbl>
    <w:p>
      <w:pPr>
        <w:spacing w:before="120" w:after="120" w:line="288" w:lineRule="auto"/>
        <w:ind w:left="0"/>
        <w:jc w:val="left"/>
      </w:pPr>
      <w:r>
        <w:rPr>
          <w:rFonts w:eastAsia="等线" w:ascii="Arial" w:cs="Arial" w:hAnsi="Arial"/>
          <w:sz w:val="22"/>
        </w:rPr>
        <w:t>这部分是汽车特有的，Apple 前端供应链那套文档一般不覆盖。</w:t>
      </w:r>
    </w:p>
    <w:p>
      <w:pPr>
        <w:spacing w:before="120" w:after="120" w:line="288" w:lineRule="auto"/>
        <w:ind w:left="0"/>
        <w:jc w:val="left"/>
      </w:pPr>
      <w:r>
        <w:rPr>
          <w:rFonts w:eastAsia="等线" w:ascii="Arial" w:cs="Arial" w:hAnsi="Arial"/>
          <w:sz w:val="22"/>
        </w:rPr>
        <w:t>所以结论是：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Magna 的完整平台 Scope &gt; Apple 前端供应链平台。</w:t>
            </w:r>
            <w:r>
              <w:rPr>
                <w:rFonts w:eastAsia="等线" w:ascii="Arial" w:cs="Arial" w:hAnsi="Arial"/>
                <w:color w:val="646a73"/>
                <w:sz w:val="22"/>
              </w:rPr>
              <w:br/>
            </w:r>
            <w:r>
              <w:rPr>
                <w:rFonts w:eastAsia="等线" w:ascii="Arial" w:cs="Arial" w:hAnsi="Arial"/>
                <w:b w:val="true"/>
                <w:color w:val="646a73"/>
                <w:sz w:val="22"/>
              </w:rPr>
              <w:t>但 Magna 的“制造端 PCF 模块”可以覆盖 Apple 前端供应链的大部分底层能力。</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2" w:id="72"/>
      <w:r>
        <w:rPr>
          <w:rFonts w:eastAsia="等线" w:ascii="Arial" w:cs="Arial" w:hAnsi="Arial"/>
          <w:color w:val="3370ff"/>
          <w:sz w:val="32"/>
        </w:rPr>
        <w:t xml:space="preserve">2. </w:t>
      </w:r>
      <w:r>
        <w:rPr>
          <w:rFonts w:eastAsia="等线" w:ascii="Arial" w:cs="Arial" w:hAnsi="Arial"/>
          <w:b w:val="true"/>
          <w:sz w:val="32"/>
        </w:rPr>
        <w:t>两边核心功能版块差别</w:t>
      </w:r>
      <w:bookmarkEnd w:id="72"/>
    </w:p>
    <w:p>
      <w:pPr>
        <w:pStyle w:val="3"/>
        <w:spacing w:before="300" w:after="120" w:line="288" w:lineRule="auto"/>
        <w:ind w:left="0"/>
        <w:jc w:val="left"/>
        <w:outlineLvl w:val="2"/>
      </w:pPr>
      <w:bookmarkStart w:name="heading_73" w:id="73"/>
      <w:r>
        <w:rPr>
          <w:rFonts w:eastAsia="等线" w:ascii="Arial" w:cs="Arial" w:hAnsi="Arial"/>
          <w:b w:val="true"/>
          <w:sz w:val="30"/>
        </w:rPr>
        <w:t>Apple 前端供应链平台核心功能</w:t>
      </w:r>
      <w:bookmarkEnd w:id="73"/>
    </w:p>
    <w:p>
      <w:pPr>
        <w:spacing w:before="120" w:after="120" w:line="288" w:lineRule="auto"/>
        <w:ind w:left="0"/>
        <w:jc w:val="left"/>
      </w:pPr>
      <w:r>
        <w:rPr>
          <w:rFonts w:eastAsia="等线" w:ascii="Arial" w:cs="Arial" w:hAnsi="Arial"/>
          <w:sz w:val="22"/>
        </w:rPr>
        <w:t>它的核心不是“完整 LCA”，而是“供应商报数 + Apple 分摊 + 产品单位碳排”。</w:t>
      </w:r>
    </w:p>
    <w:p>
      <w:pPr>
        <w:spacing w:before="120" w:after="120" w:line="288" w:lineRule="auto"/>
        <w:ind w:left="0"/>
      </w:pPr>
      <w:r>
        <w:object>
          <v:shape id="_x0000_i1066" style="width:414pt;height:197pt;mso-width-percent:0;mso-height-percent:0;mso-width-percent:0;mso-height-percent:0" type="#_x0000_t75" o:ole="">
            <v:imagedata r:id="rId91" o:title=""/>
          </v:shape>
          <o:OLEObject DrawAspect="Icon" ObjectID="_1718471260" ProgID="Excel.Sheet.12" ShapeID="_x0000_i1066" Type="Embed" r:id="rId9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Apple 文档里明确要求 Scope 1、2、3 共享同一套分摊方法，优先级是分表法、产量法、销售额法；如果用其他方法，需要 Apple 预先批准。</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4" w:id="74"/>
      <w:r>
        <w:rPr>
          <w:rFonts w:eastAsia="等线" w:ascii="Arial" w:cs="Arial" w:hAnsi="Arial"/>
          <w:b w:val="true"/>
          <w:sz w:val="30"/>
        </w:rPr>
        <w:t>Magna 能碳/LCA 平台核心功能</w:t>
      </w:r>
      <w:bookmarkEnd w:id="74"/>
    </w:p>
    <w:p>
      <w:pPr>
        <w:spacing w:before="120" w:after="120" w:line="288" w:lineRule="auto"/>
        <w:ind w:left="0"/>
        <w:jc w:val="left"/>
      </w:pPr>
      <w:r>
        <w:rPr>
          <w:rFonts w:eastAsia="等线" w:ascii="Arial" w:cs="Arial" w:hAnsi="Arial"/>
          <w:sz w:val="22"/>
        </w:rPr>
        <w:t>Magna 这边如果按完整整车来做，就明显更大。</w:t>
      </w:r>
    </w:p>
    <w:p>
      <w:pPr>
        <w:spacing w:before="120" w:after="120" w:line="288" w:lineRule="auto"/>
        <w:ind w:left="0"/>
      </w:pPr>
      <w:r>
        <w:object>
          <v:shape id="_x0000_i1067" style="width:414pt;height:197pt;mso-width-percent:0;mso-height-percent:0;mso-width-percent:0;mso-height-percent:0" type="#_x0000_t75" o:ole="">
            <v:imagedata r:id="rId93" o:title=""/>
          </v:shape>
          <o:OLEObject DrawAspect="Icon" ObjectID="_1718471261" ProgID="Excel.Sheet.12" ShapeID="_x0000_i1067" Type="Embed" r:id="rId92"/>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5" w:id="75"/>
      <w:r>
        <w:rPr>
          <w:rFonts w:eastAsia="等线" w:ascii="Arial" w:cs="Arial" w:hAnsi="Arial"/>
          <w:color w:val="3370ff"/>
          <w:sz w:val="32"/>
        </w:rPr>
        <w:t xml:space="preserve">3. </w:t>
      </w:r>
      <w:r>
        <w:rPr>
          <w:rFonts w:eastAsia="等线" w:ascii="Arial" w:cs="Arial" w:hAnsi="Arial"/>
          <w:b w:val="true"/>
          <w:sz w:val="32"/>
        </w:rPr>
        <w:t>两边最大的区别在哪里？</w:t>
      </w:r>
      <w:bookmarkEnd w:id="75"/>
    </w:p>
    <w:p>
      <w:pPr>
        <w:pStyle w:val="3"/>
        <w:spacing w:before="300" w:after="120" w:line="288" w:lineRule="auto"/>
        <w:ind w:left="0"/>
        <w:jc w:val="left"/>
        <w:outlineLvl w:val="2"/>
      </w:pPr>
      <w:bookmarkStart w:name="heading_76" w:id="76"/>
      <w:r>
        <w:rPr>
          <w:rFonts w:eastAsia="等线" w:ascii="Arial" w:cs="Arial" w:hAnsi="Arial"/>
          <w:b w:val="true"/>
          <w:sz w:val="30"/>
        </w:rPr>
        <w:t>区别一：Apple 是“客户分摊型”，Magna 是“整车生命周期型”</w:t>
      </w:r>
      <w:bookmarkEnd w:id="76"/>
    </w:p>
    <w:p>
      <w:pPr>
        <w:spacing w:before="120" w:after="120" w:line="288" w:lineRule="auto"/>
        <w:ind w:left="0"/>
        <w:jc w:val="left"/>
      </w:pPr>
      <w:r>
        <w:rPr>
          <w:rFonts w:eastAsia="等线" w:ascii="Arial" w:cs="Arial" w:hAnsi="Arial"/>
          <w:sz w:val="22"/>
        </w:rPr>
        <w:t>Apple 供应链平台的核心问题是：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供应商总排放里，哪些属于 Apple？每个 Apple 产品单位排多少？</w:t>
            </w:r>
          </w:p>
        </w:tc>
      </w:tr>
    </w:tbl>
    <w:p>
      <w:pPr>
        <w:spacing w:before="120" w:after="120" w:line="288" w:lineRule="auto"/>
        <w:ind w:left="0"/>
        <w:jc w:val="left"/>
      </w:pPr>
      <w:r>
        <w:rPr>
          <w:rFonts w:eastAsia="等线" w:ascii="Arial" w:cs="Arial" w:hAnsi="Arial"/>
          <w:sz w:val="22"/>
        </w:rPr>
        <w:t>Magna 整车平台的核心问题是：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一辆车从材料、制造、使用到报废，整个生命周期排多少？不同车型、动力系统、配置、地区之间差异多少？</w:t>
            </w:r>
          </w:p>
        </w:tc>
      </w:tr>
    </w:tbl>
    <w:p>
      <w:pPr>
        <w:spacing w:before="120" w:after="120" w:line="288" w:lineRule="auto"/>
        <w:ind w:left="0"/>
        <w:jc w:val="left"/>
      </w:pPr>
      <w:r>
        <w:rPr>
          <w:rFonts w:eastAsia="等线" w:ascii="Arial" w:cs="Arial" w:hAnsi="Arial"/>
          <w:sz w:val="22"/>
        </w:rPr>
        <w:t>所以 Apple 更像：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Allocation + Supplier reporting</w:t>
            </w:r>
          </w:p>
        </w:tc>
      </w:tr>
    </w:tbl>
    <w:p>
      <w:pPr>
        <w:spacing w:before="120" w:after="120" w:line="288" w:lineRule="auto"/>
        <w:ind w:left="0"/>
        <w:jc w:val="left"/>
      </w:pPr>
      <w:r>
        <w:rPr>
          <w:rFonts w:eastAsia="等线" w:ascii="Arial" w:cs="Arial" w:hAnsi="Arial"/>
          <w:sz w:val="22"/>
        </w:rPr>
        <w:t>Magna 更像：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LCA model + Product carbon engineering</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7" w:id="77"/>
      <w:r>
        <w:rPr>
          <w:rFonts w:eastAsia="等线" w:ascii="Arial" w:cs="Arial" w:hAnsi="Arial"/>
          <w:b w:val="true"/>
          <w:sz w:val="30"/>
        </w:rPr>
        <w:t>区别二：Apple 的产品单位比较轻，Magna 的产品结构极复杂</w:t>
      </w:r>
      <w:bookmarkEnd w:id="77"/>
    </w:p>
    <w:p>
      <w:pPr>
        <w:spacing w:before="120" w:after="120" w:line="288" w:lineRule="auto"/>
        <w:ind w:left="0"/>
        <w:jc w:val="left"/>
      </w:pPr>
      <w:r>
        <w:rPr>
          <w:rFonts w:eastAsia="等线" w:ascii="Arial" w:cs="Arial" w:hAnsi="Arial"/>
          <w:sz w:val="22"/>
        </w:rPr>
        <w:t>Apple 这份文档里的产品单位可以是 APN、零件、功能单位，比如 cm² OLED。</w:t>
      </w:r>
    </w:p>
    <w:p>
      <w:pPr>
        <w:spacing w:before="120" w:after="120" w:line="288" w:lineRule="auto"/>
        <w:ind w:left="0"/>
        <w:jc w:val="left"/>
      </w:pPr>
      <w:r>
        <w:rPr>
          <w:rFonts w:eastAsia="等线" w:ascii="Arial" w:cs="Arial" w:hAnsi="Arial"/>
          <w:sz w:val="22"/>
        </w:rPr>
        <w:t>Magna 的产品单位是一辆车，背后有：</w:t>
      </w:r>
    </w:p>
    <w:p>
      <w:pPr>
        <w:numPr>
          <w:numId w:val="147"/>
        </w:numPr>
        <w:spacing w:before="120" w:after="120" w:line="288" w:lineRule="auto"/>
        <w:ind w:left="0"/>
        <w:jc w:val="left"/>
      </w:pPr>
      <w:r>
        <w:rPr>
          <w:rFonts w:eastAsia="等线" w:ascii="Arial" w:cs="Arial" w:hAnsi="Arial"/>
          <w:sz w:val="22"/>
        </w:rPr>
        <w:t xml:space="preserve"> 上万个零部件； </w:t>
      </w:r>
    </w:p>
    <w:p>
      <w:pPr>
        <w:numPr>
          <w:numId w:val="148"/>
        </w:numPr>
        <w:spacing w:before="120" w:after="120" w:line="288" w:lineRule="auto"/>
        <w:ind w:left="0"/>
        <w:jc w:val="left"/>
      </w:pPr>
      <w:r>
        <w:rPr>
          <w:rFonts w:eastAsia="等线" w:ascii="Arial" w:cs="Arial" w:hAnsi="Arial"/>
          <w:sz w:val="22"/>
        </w:rPr>
        <w:t xml:space="preserve"> 多层级 BOM； </w:t>
      </w:r>
    </w:p>
    <w:p>
      <w:pPr>
        <w:numPr>
          <w:numId w:val="149"/>
        </w:numPr>
        <w:spacing w:before="120" w:after="120" w:line="288" w:lineRule="auto"/>
        <w:ind w:left="0"/>
        <w:jc w:val="left"/>
      </w:pPr>
      <w:r>
        <w:rPr>
          <w:rFonts w:eastAsia="等线" w:ascii="Arial" w:cs="Arial" w:hAnsi="Arial"/>
          <w:sz w:val="22"/>
        </w:rPr>
        <w:t xml:space="preserve"> 不同动力系统； </w:t>
      </w:r>
    </w:p>
    <w:p>
      <w:pPr>
        <w:numPr>
          <w:numId w:val="150"/>
        </w:numPr>
        <w:spacing w:before="120" w:after="120" w:line="288" w:lineRule="auto"/>
        <w:ind w:left="0"/>
        <w:jc w:val="left"/>
      </w:pPr>
      <w:r>
        <w:rPr>
          <w:rFonts w:eastAsia="等线" w:ascii="Arial" w:cs="Arial" w:hAnsi="Arial"/>
          <w:sz w:val="22"/>
        </w:rPr>
        <w:t xml:space="preserve"> 不同配置； </w:t>
      </w:r>
    </w:p>
    <w:p>
      <w:pPr>
        <w:numPr>
          <w:numId w:val="151"/>
        </w:numPr>
        <w:spacing w:before="120" w:after="120" w:line="288" w:lineRule="auto"/>
        <w:ind w:left="0"/>
        <w:jc w:val="left"/>
      </w:pPr>
      <w:r>
        <w:rPr>
          <w:rFonts w:eastAsia="等线" w:ascii="Arial" w:cs="Arial" w:hAnsi="Arial"/>
          <w:sz w:val="22"/>
        </w:rPr>
        <w:t xml:space="preserve"> 不同供应商； </w:t>
      </w:r>
    </w:p>
    <w:p>
      <w:pPr>
        <w:numPr>
          <w:numId w:val="152"/>
        </w:numPr>
        <w:spacing w:before="120" w:after="120" w:line="288" w:lineRule="auto"/>
        <w:ind w:left="0"/>
        <w:jc w:val="left"/>
      </w:pPr>
      <w:r>
        <w:rPr>
          <w:rFonts w:eastAsia="等线" w:ascii="Arial" w:cs="Arial" w:hAnsi="Arial"/>
          <w:sz w:val="22"/>
        </w:rPr>
        <w:t xml:space="preserve"> 不同物流路线； </w:t>
      </w:r>
    </w:p>
    <w:p>
      <w:pPr>
        <w:numPr>
          <w:numId w:val="153"/>
        </w:numPr>
        <w:spacing w:before="120" w:after="120" w:line="288" w:lineRule="auto"/>
        <w:ind w:left="0"/>
        <w:jc w:val="left"/>
      </w:pPr>
      <w:r>
        <w:rPr>
          <w:rFonts w:eastAsia="等线" w:ascii="Arial" w:cs="Arial" w:hAnsi="Arial"/>
          <w:sz w:val="22"/>
        </w:rPr>
        <w:t xml:space="preserve"> 不同使用场景； </w:t>
      </w:r>
    </w:p>
    <w:p>
      <w:pPr>
        <w:numPr>
          <w:numId w:val="154"/>
        </w:numPr>
        <w:spacing w:before="120" w:after="120" w:line="288" w:lineRule="auto"/>
        <w:ind w:left="0"/>
        <w:jc w:val="left"/>
      </w:pPr>
      <w:r>
        <w:rPr>
          <w:rFonts w:eastAsia="等线" w:ascii="Arial" w:cs="Arial" w:hAnsi="Arial"/>
          <w:sz w:val="22"/>
        </w:rPr>
        <w:t xml:space="preserve"> 不同生命周期假设。 </w:t>
      </w:r>
    </w:p>
    <w:p>
      <w:pPr>
        <w:spacing w:before="120" w:after="120" w:line="288" w:lineRule="auto"/>
        <w:ind w:left="0"/>
        <w:jc w:val="left"/>
      </w:pPr>
      <w:r>
        <w:rPr>
          <w:rFonts w:eastAsia="等线" w:ascii="Arial" w:cs="Arial" w:hAnsi="Arial"/>
          <w:sz w:val="22"/>
        </w:rPr>
        <w:t>所以 Magna 的产品数据模型一定要比 Apple 更复杂。</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8" w:id="78"/>
      <w:r>
        <w:rPr>
          <w:rFonts w:eastAsia="等线" w:ascii="Arial" w:cs="Arial" w:hAnsi="Arial"/>
          <w:b w:val="true"/>
          <w:sz w:val="30"/>
        </w:rPr>
        <w:t>区别三：Magna 必须有使用阶段，Apple 前端供应链通常没有</w:t>
      </w:r>
      <w:bookmarkEnd w:id="78"/>
    </w:p>
    <w:p>
      <w:pPr>
        <w:spacing w:before="120" w:after="120" w:line="288" w:lineRule="auto"/>
        <w:ind w:left="0"/>
        <w:jc w:val="left"/>
      </w:pPr>
      <w:r>
        <w:rPr>
          <w:rFonts w:eastAsia="等线" w:ascii="Arial" w:cs="Arial" w:hAnsi="Arial"/>
          <w:sz w:val="22"/>
        </w:rPr>
        <w:t>汽车使用阶段非常关键。</w:t>
      </w:r>
    </w:p>
    <w:p>
      <w:pPr>
        <w:spacing w:before="120" w:after="120" w:line="288" w:lineRule="auto"/>
        <w:ind w:left="0"/>
        <w:jc w:val="left"/>
      </w:pPr>
      <w:r>
        <w:rPr>
          <w:rFonts w:eastAsia="等线" w:ascii="Arial" w:cs="Arial" w:hAnsi="Arial"/>
          <w:sz w:val="22"/>
        </w:rPr>
        <w:t>燃油车要算：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生命周期里程 × 油耗 × 燃油排放因子</w:t>
            </w:r>
          </w:p>
        </w:tc>
      </w:tr>
    </w:tbl>
    <w:p>
      <w:pPr>
        <w:spacing w:before="120" w:after="120" w:line="288" w:lineRule="auto"/>
        <w:ind w:left="0"/>
        <w:jc w:val="left"/>
      </w:pPr>
      <w:r>
        <w:rPr>
          <w:rFonts w:eastAsia="等线" w:ascii="Arial" w:cs="Arial" w:hAnsi="Arial"/>
          <w:sz w:val="22"/>
        </w:rPr>
        <w:t>电动车要算：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生命周期里程 × 电耗 × 充电电网排放因子</w:t>
            </w:r>
          </w:p>
        </w:tc>
      </w:tr>
    </w:tbl>
    <w:p>
      <w:pPr>
        <w:spacing w:before="120" w:after="120" w:line="288" w:lineRule="auto"/>
        <w:ind w:left="0"/>
        <w:jc w:val="left"/>
      </w:pPr>
      <w:r>
        <w:rPr>
          <w:rFonts w:eastAsia="等线" w:ascii="Arial" w:cs="Arial" w:hAnsi="Arial"/>
          <w:sz w:val="22"/>
        </w:rPr>
        <w:t>还可能要算：</w:t>
      </w:r>
    </w:p>
    <w:p>
      <w:pPr>
        <w:numPr>
          <w:numId w:val="155"/>
        </w:numPr>
        <w:spacing w:before="120" w:after="120" w:line="288" w:lineRule="auto"/>
        <w:ind w:left="0"/>
        <w:jc w:val="left"/>
      </w:pPr>
      <w:r>
        <w:rPr>
          <w:rFonts w:eastAsia="等线" w:ascii="Arial" w:cs="Arial" w:hAnsi="Arial"/>
          <w:sz w:val="22"/>
        </w:rPr>
        <w:t xml:space="preserve"> 充电损耗； </w:t>
      </w:r>
    </w:p>
    <w:p>
      <w:pPr>
        <w:numPr>
          <w:numId w:val="156"/>
        </w:numPr>
        <w:spacing w:before="120" w:after="120" w:line="288" w:lineRule="auto"/>
        <w:ind w:left="0"/>
        <w:jc w:val="left"/>
      </w:pPr>
      <w:r>
        <w:rPr>
          <w:rFonts w:eastAsia="等线" w:ascii="Arial" w:cs="Arial" w:hAnsi="Arial"/>
          <w:sz w:val="22"/>
        </w:rPr>
        <w:t xml:space="preserve"> 燃料上游排放； </w:t>
      </w:r>
    </w:p>
    <w:p>
      <w:pPr>
        <w:numPr>
          <w:numId w:val="157"/>
        </w:numPr>
        <w:spacing w:before="120" w:after="120" w:line="288" w:lineRule="auto"/>
        <w:ind w:left="0"/>
        <w:jc w:val="left"/>
      </w:pPr>
      <w:r>
        <w:rPr>
          <w:rFonts w:eastAsia="等线" w:ascii="Arial" w:cs="Arial" w:hAnsi="Arial"/>
          <w:sz w:val="22"/>
        </w:rPr>
        <w:t xml:space="preserve"> 电池更换； </w:t>
      </w:r>
    </w:p>
    <w:p>
      <w:pPr>
        <w:numPr>
          <w:numId w:val="158"/>
        </w:numPr>
        <w:spacing w:before="120" w:after="120" w:line="288" w:lineRule="auto"/>
        <w:ind w:left="0"/>
        <w:jc w:val="left"/>
      </w:pPr>
      <w:r>
        <w:rPr>
          <w:rFonts w:eastAsia="等线" w:ascii="Arial" w:cs="Arial" w:hAnsi="Arial"/>
          <w:sz w:val="22"/>
        </w:rPr>
        <w:t xml:space="preserve"> 维修保养； </w:t>
      </w:r>
    </w:p>
    <w:p>
      <w:pPr>
        <w:numPr>
          <w:numId w:val="159"/>
        </w:numPr>
        <w:spacing w:before="120" w:after="120" w:line="288" w:lineRule="auto"/>
        <w:ind w:left="0"/>
        <w:jc w:val="left"/>
      </w:pPr>
      <w:r>
        <w:rPr>
          <w:rFonts w:eastAsia="等线" w:ascii="Arial" w:cs="Arial" w:hAnsi="Arial"/>
          <w:sz w:val="22"/>
        </w:rPr>
        <w:t xml:space="preserve"> 不同国家/地区电网因子； </w:t>
      </w:r>
    </w:p>
    <w:p>
      <w:pPr>
        <w:numPr>
          <w:numId w:val="160"/>
        </w:numPr>
        <w:spacing w:before="120" w:after="120" w:line="288" w:lineRule="auto"/>
        <w:ind w:left="0"/>
        <w:jc w:val="left"/>
      </w:pPr>
      <w:r>
        <w:rPr>
          <w:rFonts w:eastAsia="等线" w:ascii="Arial" w:cs="Arial" w:hAnsi="Arial"/>
          <w:sz w:val="22"/>
        </w:rPr>
        <w:t xml:space="preserve"> 不同驾驶工况。 </w:t>
      </w:r>
    </w:p>
    <w:p>
      <w:pPr>
        <w:spacing w:before="120" w:after="120" w:line="288" w:lineRule="auto"/>
        <w:ind w:left="0"/>
        <w:jc w:val="left"/>
      </w:pPr>
      <w:r>
        <w:rPr>
          <w:rFonts w:eastAsia="等线" w:ascii="Arial" w:cs="Arial" w:hAnsi="Arial"/>
          <w:sz w:val="22"/>
        </w:rPr>
        <w:t>Apple 前端供应链文档重点是供应商上游 footprint，不是终端消费者使用阶段 LCA。</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9" w:id="79"/>
      <w:r>
        <w:rPr>
          <w:rFonts w:eastAsia="等线" w:ascii="Arial" w:cs="Arial" w:hAnsi="Arial"/>
          <w:b w:val="true"/>
          <w:sz w:val="30"/>
        </w:rPr>
        <w:t>区别四：Magna 更需要“工程配置”和“场景模拟”（这个不一定在第一期scope里）</w:t>
      </w:r>
      <w:bookmarkEnd w:id="79"/>
    </w:p>
    <w:p>
      <w:pPr>
        <w:spacing w:before="120" w:after="120" w:line="288" w:lineRule="auto"/>
        <w:ind w:left="0"/>
        <w:jc w:val="left"/>
      </w:pPr>
      <w:r>
        <w:rPr>
          <w:rFonts w:eastAsia="等线" w:ascii="Arial" w:cs="Arial" w:hAnsi="Arial"/>
          <w:sz w:val="22"/>
        </w:rPr>
        <w:t>Magna 需要回答：</w:t>
      </w:r>
    </w:p>
    <w:p>
      <w:pPr>
        <w:numPr>
          <w:numId w:val="161"/>
        </w:numPr>
        <w:spacing w:before="120" w:after="120" w:line="288" w:lineRule="auto"/>
        <w:ind w:left="0"/>
        <w:jc w:val="left"/>
      </w:pPr>
      <w:r>
        <w:rPr>
          <w:rFonts w:eastAsia="等线" w:ascii="Arial" w:cs="Arial" w:hAnsi="Arial"/>
          <w:sz w:val="22"/>
        </w:rPr>
        <w:t xml:space="preserve"> 同一车型，BEV 和 ICE 的碳排差异？ </w:t>
      </w:r>
    </w:p>
    <w:p>
      <w:pPr>
        <w:numPr>
          <w:numId w:val="162"/>
        </w:numPr>
        <w:spacing w:before="120" w:after="120" w:line="288" w:lineRule="auto"/>
        <w:ind w:left="0"/>
        <w:jc w:val="left"/>
      </w:pPr>
      <w:r>
        <w:rPr>
          <w:rFonts w:eastAsia="等线" w:ascii="Arial" w:cs="Arial" w:hAnsi="Arial"/>
          <w:sz w:val="22"/>
        </w:rPr>
        <w:t xml:space="preserve"> 使用 200,000 km 和 240,000 km，结果差多少？ </w:t>
      </w:r>
    </w:p>
    <w:p>
      <w:pPr>
        <w:numPr>
          <w:numId w:val="163"/>
        </w:numPr>
        <w:spacing w:before="120" w:after="120" w:line="288" w:lineRule="auto"/>
        <w:ind w:left="0"/>
        <w:jc w:val="left"/>
      </w:pPr>
      <w:r>
        <w:rPr>
          <w:rFonts w:eastAsia="等线" w:ascii="Arial" w:cs="Arial" w:hAnsi="Arial"/>
          <w:sz w:val="22"/>
        </w:rPr>
        <w:t xml:space="preserve"> 在德国销售和在波兰销售，电动车使用阶段差多少？ </w:t>
      </w:r>
    </w:p>
    <w:p>
      <w:pPr>
        <w:numPr>
          <w:numId w:val="164"/>
        </w:numPr>
        <w:spacing w:before="120" w:after="120" w:line="288" w:lineRule="auto"/>
        <w:ind w:left="0"/>
        <w:jc w:val="left"/>
      </w:pPr>
      <w:r>
        <w:rPr>
          <w:rFonts w:eastAsia="等线" w:ascii="Arial" w:cs="Arial" w:hAnsi="Arial"/>
          <w:sz w:val="22"/>
        </w:rPr>
        <w:t xml:space="preserve"> 铝车身增加制造碳排，但减重后是否降低使用阶段排放？ </w:t>
      </w:r>
    </w:p>
    <w:p>
      <w:pPr>
        <w:numPr>
          <w:numId w:val="165"/>
        </w:numPr>
        <w:spacing w:before="120" w:after="120" w:line="288" w:lineRule="auto"/>
        <w:ind w:left="0"/>
        <w:jc w:val="left"/>
      </w:pPr>
      <w:r>
        <w:rPr>
          <w:rFonts w:eastAsia="等线" w:ascii="Arial" w:cs="Arial" w:hAnsi="Arial"/>
          <w:sz w:val="22"/>
        </w:rPr>
        <w:t xml:space="preserve"> 低碳钢、低碳铝、绿电、物流改海运，对整车 PCF 影响多少？ </w:t>
      </w:r>
    </w:p>
    <w:p>
      <w:pPr>
        <w:spacing w:before="120" w:after="120" w:line="288" w:lineRule="auto"/>
        <w:ind w:left="0"/>
        <w:jc w:val="left"/>
      </w:pPr>
      <w:r>
        <w:rPr>
          <w:rFonts w:eastAsia="等线" w:ascii="Arial" w:cs="Arial" w:hAnsi="Arial"/>
          <w:sz w:val="22"/>
        </w:rPr>
        <w:t>Apple 前端供应链更多是：</w:t>
      </w:r>
    </w:p>
    <w:p>
      <w:pPr>
        <w:numPr>
          <w:numId w:val="166"/>
        </w:numPr>
        <w:spacing w:before="120" w:after="120" w:line="288" w:lineRule="auto"/>
        <w:ind w:left="0"/>
        <w:jc w:val="left"/>
      </w:pPr>
      <w:r>
        <w:rPr>
          <w:rFonts w:eastAsia="等线" w:ascii="Arial" w:cs="Arial" w:hAnsi="Arial"/>
          <w:sz w:val="22"/>
        </w:rPr>
        <w:t xml:space="preserve"> 供应商报了哪些材料？ </w:t>
      </w:r>
    </w:p>
    <w:p>
      <w:pPr>
        <w:numPr>
          <w:numId w:val="167"/>
        </w:numPr>
        <w:spacing w:before="120" w:after="120" w:line="288" w:lineRule="auto"/>
        <w:ind w:left="0"/>
        <w:jc w:val="left"/>
      </w:pPr>
      <w:r>
        <w:rPr>
          <w:rFonts w:eastAsia="等线" w:ascii="Arial" w:cs="Arial" w:hAnsi="Arial"/>
          <w:sz w:val="22"/>
        </w:rPr>
        <w:t xml:space="preserve"> 用什么排放因子？ </w:t>
      </w:r>
    </w:p>
    <w:p>
      <w:pPr>
        <w:numPr>
          <w:numId w:val="168"/>
        </w:numPr>
        <w:spacing w:before="120" w:after="120" w:line="288" w:lineRule="auto"/>
        <w:ind w:left="0"/>
        <w:jc w:val="left"/>
      </w:pPr>
      <w:r>
        <w:rPr>
          <w:rFonts w:eastAsia="等线" w:ascii="Arial" w:cs="Arial" w:hAnsi="Arial"/>
          <w:sz w:val="22"/>
        </w:rPr>
        <w:t xml:space="preserve"> 怎么分摊给 Apple？ </w:t>
      </w:r>
    </w:p>
    <w:p>
      <w:pPr>
        <w:numPr>
          <w:numId w:val="169"/>
        </w:numPr>
        <w:spacing w:before="120" w:after="120" w:line="288" w:lineRule="auto"/>
        <w:ind w:left="0"/>
        <w:jc w:val="left"/>
      </w:pPr>
      <w:r>
        <w:rPr>
          <w:rFonts w:eastAsia="等线" w:ascii="Arial" w:cs="Arial" w:hAnsi="Arial"/>
          <w:sz w:val="22"/>
        </w:rPr>
        <w:t xml:space="preserve"> 单位产品碳排是多少？ </w:t>
      </w:r>
    </w:p>
    <w:p>
      <w:pPr>
        <w:numPr>
          <w:numId w:val="170"/>
        </w:numPr>
        <w:spacing w:before="120" w:after="120" w:line="288" w:lineRule="auto"/>
        <w:ind w:left="0"/>
        <w:jc w:val="left"/>
      </w:pPr>
      <w:r>
        <w:rPr>
          <w:rFonts w:eastAsia="等线" w:ascii="Arial" w:cs="Arial" w:hAnsi="Arial"/>
          <w:sz w:val="22"/>
        </w:rPr>
        <w:t xml:space="preserve"> 是否通过 assurance？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0" w:id="80"/>
      <w:r>
        <w:rPr>
          <w:rFonts w:eastAsia="等线" w:ascii="Arial" w:cs="Arial" w:hAnsi="Arial"/>
          <w:color w:val="3370ff"/>
          <w:sz w:val="32"/>
        </w:rPr>
        <w:t xml:space="preserve">4. </w:t>
      </w:r>
      <w:r>
        <w:rPr>
          <w:rFonts w:eastAsia="等线" w:ascii="Arial" w:cs="Arial" w:hAnsi="Arial"/>
          <w:b w:val="true"/>
          <w:sz w:val="32"/>
        </w:rPr>
        <w:t>先开发 Magna，后期能不能复用到 Apple？</w:t>
      </w:r>
      <w:bookmarkEnd w:id="80"/>
    </w:p>
    <w:p>
      <w:pPr>
        <w:spacing w:before="120" w:after="120" w:line="288" w:lineRule="auto"/>
        <w:ind w:left="0"/>
        <w:jc w:val="left"/>
      </w:pPr>
      <w:r>
        <w:rPr>
          <w:rFonts w:eastAsia="等线" w:ascii="Arial" w:cs="Arial" w:hAnsi="Arial"/>
          <w:b w:val="true"/>
          <w:sz w:val="22"/>
        </w:rPr>
        <w:t>可以，而且建议这样做。</w:t>
      </w:r>
    </w:p>
    <w:p>
      <w:pPr>
        <w:spacing w:before="120" w:after="120" w:line="288" w:lineRule="auto"/>
        <w:ind w:left="0"/>
        <w:jc w:val="left"/>
      </w:pPr>
      <w:r>
        <w:rPr>
          <w:rFonts w:eastAsia="等线" w:ascii="Arial" w:cs="Arial" w:hAnsi="Arial"/>
          <w:sz w:val="22"/>
        </w:rPr>
        <w:t>但前提是：你不能把系统写死成“汽车 LCA 系统”，而要抽象成：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通用能碳核算底座 + 行业/客户边界配置 + 报表输出插件</w:t>
            </w:r>
          </w:p>
        </w:tc>
      </w:tr>
    </w:tbl>
    <w:p>
      <w:pPr>
        <w:spacing w:before="120" w:after="120" w:line="288" w:lineRule="auto"/>
        <w:ind w:left="0"/>
        <w:jc w:val="left"/>
      </w:pPr>
      <w:r>
        <w:rPr>
          <w:rFonts w:eastAsia="等线" w:ascii="Arial" w:cs="Arial" w:hAnsi="Arial"/>
          <w:sz w:val="22"/>
        </w:rPr>
        <w:t>如果这样设计，Magna 平台里大约这些能力可以直接复用到 Apple 前端供应链：</w:t>
      </w:r>
    </w:p>
    <w:p>
      <w:pPr>
        <w:spacing w:before="120" w:after="120" w:line="288" w:lineRule="auto"/>
        <w:ind w:left="0"/>
      </w:pPr>
      <w:r>
        <w:object>
          <v:shape id="_x0000_i1068" style="width:414pt;height:197pt;mso-width-percent:0;mso-height-percent:0;mso-width-percent:0;mso-height-percent:0" type="#_x0000_t75" o:ole="">
            <v:imagedata r:id="rId95" o:title=""/>
          </v:shape>
          <o:OLEObject DrawAspect="Icon" ObjectID="_1718471262" ProgID="Excel.Sheet.12" ShapeID="_x0000_i1068" Type="Embed" r:id="rId9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所以你可以把 Magna 作为“大平台第一阶段”，但架构必须从第一天就支持：</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边界可配置、生命周期阶段可配置、Scope/Category 可配置、客户输出模板可配置。</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1" w:id="81"/>
      <w:r>
        <w:rPr>
          <w:rFonts w:eastAsia="等线" w:ascii="Arial" w:cs="Arial" w:hAnsi="Arial"/>
          <w:color w:val="3370ff"/>
          <w:sz w:val="32"/>
        </w:rPr>
        <w:t xml:space="preserve">5. </w:t>
      </w:r>
      <w:r>
        <w:rPr>
          <w:rFonts w:eastAsia="等线" w:ascii="Arial" w:cs="Arial" w:hAnsi="Arial"/>
          <w:b w:val="true"/>
          <w:sz w:val="32"/>
        </w:rPr>
        <w:t>推荐的底层设计：不要按“行业”建表，要按“碳活动账本”建模</w:t>
      </w:r>
      <w:bookmarkEnd w:id="81"/>
    </w:p>
    <w:p>
      <w:pPr>
        <w:spacing w:before="120" w:after="120" w:line="288" w:lineRule="auto"/>
        <w:ind w:left="0"/>
        <w:jc w:val="left"/>
      </w:pPr>
      <w:r>
        <w:rPr>
          <w:rFonts w:eastAsia="等线" w:ascii="Arial" w:cs="Arial" w:hAnsi="Arial"/>
          <w:sz w:val="22"/>
        </w:rPr>
        <w:t>最底层不要叫“汽车表”“苹果表”，而应该叫：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Carbon Activity Ledger，碳活动台账。</w:t>
            </w:r>
          </w:p>
        </w:tc>
      </w:tr>
    </w:tbl>
    <w:p>
      <w:pPr>
        <w:spacing w:before="120" w:after="120" w:line="288" w:lineRule="auto"/>
        <w:ind w:left="0"/>
        <w:jc w:val="left"/>
      </w:pPr>
      <w:r>
        <w:rPr>
          <w:rFonts w:eastAsia="等线" w:ascii="Arial" w:cs="Arial" w:hAnsi="Arial"/>
          <w:sz w:val="22"/>
        </w:rPr>
        <w:t>每一条排放活动都抽象成：</w:t>
      </w:r>
    </w:p>
    <w:p>
      <w:pPr>
        <w:spacing w:before="120" w:after="120" w:line="288" w:lineRule="auto"/>
        <w:ind w:left="0"/>
      </w:pPr>
      <w:r>
        <w:object>
          <v:shape id="_x0000_i1069" style="width:414pt;height:197pt;mso-width-percent:0;mso-height-percent:0;mso-width-percent:0;mso-height-percent:0" type="#_x0000_t75" o:ole="">
            <v:imagedata r:id="rId97" o:title=""/>
          </v:shape>
          <o:OLEObject DrawAspect="Icon" ObjectID="_1718471263" ProgID="Excel.Sheet.12" ShapeID="_x0000_i1069" Type="Embed" r:id="rId9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这样一来：</w:t>
      </w:r>
    </w:p>
    <w:p>
      <w:pPr>
        <w:numPr>
          <w:numId w:val="171"/>
        </w:numPr>
        <w:spacing w:before="120" w:after="120" w:line="288" w:lineRule="auto"/>
        <w:ind w:left="0"/>
        <w:jc w:val="left"/>
      </w:pPr>
      <w:r>
        <w:rPr>
          <w:rFonts w:eastAsia="等线" w:ascii="Arial" w:cs="Arial" w:hAnsi="Arial"/>
          <w:sz w:val="22"/>
        </w:rPr>
        <w:t xml:space="preserve"> Magna 用它来算整车； </w:t>
      </w:r>
    </w:p>
    <w:p>
      <w:pPr>
        <w:numPr>
          <w:numId w:val="172"/>
        </w:numPr>
        <w:spacing w:before="120" w:after="120" w:line="288" w:lineRule="auto"/>
        <w:ind w:left="0"/>
        <w:jc w:val="left"/>
      </w:pPr>
      <w:r>
        <w:rPr>
          <w:rFonts w:eastAsia="等线" w:ascii="Arial" w:cs="Arial" w:hAnsi="Arial"/>
          <w:sz w:val="22"/>
        </w:rPr>
        <w:t xml:space="preserve"> Apple 用它来算供应商 upstream； </w:t>
      </w:r>
    </w:p>
    <w:p>
      <w:pPr>
        <w:numPr>
          <w:numId w:val="173"/>
        </w:numPr>
        <w:spacing w:before="120" w:after="120" w:line="288" w:lineRule="auto"/>
        <w:ind w:left="0"/>
        <w:jc w:val="left"/>
      </w:pPr>
      <w:r>
        <w:rPr>
          <w:rFonts w:eastAsia="等线" w:ascii="Arial" w:cs="Arial" w:hAnsi="Arial"/>
          <w:sz w:val="22"/>
        </w:rPr>
        <w:t xml:space="preserve"> 其他行业也能复用。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2" w:id="82"/>
      <w:r>
        <w:rPr>
          <w:rFonts w:eastAsia="等线" w:ascii="Arial" w:cs="Arial" w:hAnsi="Arial"/>
          <w:color w:val="3370ff"/>
          <w:sz w:val="32"/>
        </w:rPr>
        <w:t xml:space="preserve">6. </w:t>
      </w:r>
      <w:r>
        <w:rPr>
          <w:rFonts w:eastAsia="等线" w:ascii="Arial" w:cs="Arial" w:hAnsi="Arial"/>
          <w:b w:val="true"/>
          <w:sz w:val="32"/>
        </w:rPr>
        <w:t>关键设计一：Boundary Profile，边界配置</w:t>
      </w:r>
      <w:bookmarkEnd w:id="82"/>
    </w:p>
    <w:p>
      <w:pPr>
        <w:spacing w:before="120" w:after="120" w:line="288" w:lineRule="auto"/>
        <w:ind w:left="0"/>
        <w:jc w:val="left"/>
      </w:pPr>
      <w:r>
        <w:rPr>
          <w:rFonts w:eastAsia="等线" w:ascii="Arial" w:cs="Arial" w:hAnsi="Arial"/>
          <w:sz w:val="22"/>
        </w:rPr>
        <w:t>平台一定要有一个“核算边界配置”。</w:t>
      </w:r>
    </w:p>
    <w:p>
      <w:pPr>
        <w:pStyle w:val="3"/>
        <w:spacing w:before="300" w:after="120" w:line="288" w:lineRule="auto"/>
        <w:ind w:left="0"/>
        <w:jc w:val="left"/>
        <w:outlineLvl w:val="2"/>
      </w:pPr>
      <w:bookmarkStart w:name="heading_83" w:id="83"/>
      <w:r>
        <w:rPr>
          <w:rFonts w:eastAsia="等线" w:ascii="Arial" w:cs="Arial" w:hAnsi="Arial"/>
          <w:b w:val="true"/>
          <w:sz w:val="30"/>
        </w:rPr>
        <w:t>Boundary Profile A：Apple Upstream Supplier</w:t>
      </w:r>
      <w:bookmarkEnd w:id="83"/>
    </w:p>
    <w:p>
      <w:pPr>
        <w:spacing w:before="120" w:after="120" w:line="288" w:lineRule="auto"/>
        <w:ind w:left="0"/>
        <w:jc w:val="left"/>
      </w:pPr>
      <w:r>
        <w:rPr>
          <w:rFonts w:eastAsia="等线" w:ascii="Arial" w:cs="Arial" w:hAnsi="Arial"/>
          <w:sz w:val="22"/>
        </w:rPr>
        <w:t>包含：</w:t>
      </w:r>
    </w:p>
    <w:p>
      <w:pPr>
        <w:spacing w:before="120" w:after="120" w:line="288" w:lineRule="auto"/>
        <w:ind w:left="0"/>
      </w:pPr>
      <w:r>
        <w:object>
          <v:shape id="_x0000_i1070" style="width:414pt;height:163pt;mso-width-percent:0;mso-height-percent:0;mso-width-percent:0;mso-height-percent:0" type="#_x0000_t75" o:ole="">
            <v:imagedata r:id="rId99" o:title=""/>
          </v:shape>
          <o:OLEObject DrawAspect="Icon" ObjectID="_1718471264" ProgID="Excel.Sheet.12" ShapeID="_x0000_i1070" Type="Embed" r:id="rId9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输出：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Output 1：公司级分摊给 Apple</w:t>
              <w:br/>
            </w:r>
            <w:r>
              <w:rPr>
                <w:rFonts w:eastAsia="等线" w:ascii="Arial" w:cs="Arial" w:hAnsi="Arial"/>
                <w:color w:val="646a73"/>
                <w:sz w:val="22"/>
              </w:rPr>
              <w:t>Output 2：Apple 产品单位碳排</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4" w:id="84"/>
      <w:r>
        <w:rPr>
          <w:rFonts w:eastAsia="等线" w:ascii="Arial" w:cs="Arial" w:hAnsi="Arial"/>
          <w:b w:val="true"/>
          <w:sz w:val="30"/>
        </w:rPr>
        <w:t>Boundary Profile B：Magna Manufacturing PCF</w:t>
      </w:r>
      <w:bookmarkEnd w:id="84"/>
    </w:p>
    <w:p>
      <w:pPr>
        <w:spacing w:before="120" w:after="120" w:line="288" w:lineRule="auto"/>
        <w:ind w:left="0"/>
        <w:jc w:val="left"/>
      </w:pPr>
      <w:r>
        <w:rPr>
          <w:rFonts w:eastAsia="等线" w:ascii="Arial" w:cs="Arial" w:hAnsi="Arial"/>
          <w:sz w:val="22"/>
        </w:rPr>
        <w:t>包含：</w:t>
      </w:r>
    </w:p>
    <w:p>
      <w:pPr>
        <w:spacing w:before="120" w:after="120" w:line="288" w:lineRule="auto"/>
        <w:ind w:left="0"/>
      </w:pPr>
      <w:r>
        <w:object>
          <v:shape id="_x0000_i1071" style="width:414pt;height:182pt;mso-width-percent:0;mso-height-percent:0;mso-width-percent:0;mso-height-percent:0" type="#_x0000_t75" o:ole="">
            <v:imagedata r:id="rId101" o:title=""/>
          </v:shape>
          <o:OLEObject DrawAspect="Icon" ObjectID="_1718471265" ProgID="Excel.Sheet.12" ShapeID="_x0000_i1071" Type="Embed" r:id="rId10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输出：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某车型制造端 PCF / 辆</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5" w:id="85"/>
      <w:r>
        <w:rPr>
          <w:rFonts w:eastAsia="等线" w:ascii="Arial" w:cs="Arial" w:hAnsi="Arial"/>
          <w:b w:val="true"/>
          <w:sz w:val="30"/>
        </w:rPr>
        <w:t>Boundary Profile C：Magna Full Vehicle LCA</w:t>
      </w:r>
      <w:bookmarkEnd w:id="85"/>
    </w:p>
    <w:p>
      <w:pPr>
        <w:spacing w:before="120" w:after="120" w:line="288" w:lineRule="auto"/>
        <w:ind w:left="0"/>
        <w:jc w:val="left"/>
      </w:pPr>
      <w:r>
        <w:rPr>
          <w:rFonts w:eastAsia="等线" w:ascii="Arial" w:cs="Arial" w:hAnsi="Arial"/>
          <w:sz w:val="22"/>
        </w:rPr>
        <w:t>包含：</w:t>
      </w:r>
    </w:p>
    <w:p>
      <w:pPr>
        <w:spacing w:before="120" w:after="120" w:line="288" w:lineRule="auto"/>
        <w:ind w:left="0"/>
      </w:pPr>
      <w:r>
        <w:object>
          <v:shape id="_x0000_i1072" style="width:414pt;height:182pt;mso-width-percent:0;mso-height-percent:0;mso-width-percent:0;mso-height-percent:0" type="#_x0000_t75" o:ole="">
            <v:imagedata r:id="rId103" o:title=""/>
          </v:shape>
          <o:OLEObject DrawAspect="Icon" ObjectID="_1718471266" ProgID="Excel.Sheet.12" ShapeID="_x0000_i1072" Type="Embed" r:id="rId10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输出：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某车型 Cradle-to-Grave PCF / 辆 / 生命周期里程</w:t>
            </w:r>
          </w:p>
        </w:tc>
      </w:tr>
    </w:tbl>
    <w:p>
      <w:pPr>
        <w:spacing w:before="120" w:after="120" w:line="288" w:lineRule="auto"/>
        <w:ind w:left="0"/>
        <w:jc w:val="left"/>
      </w:pPr>
      <w:r>
        <w:rPr>
          <w:rFonts w:eastAsia="等线" w:ascii="Arial" w:cs="Arial" w:hAnsi="Arial"/>
          <w:sz w:val="22"/>
        </w:rPr>
        <w:t>这个设计非常重要。因为未来你们不是改代码适配客户，而是切换边界配置。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6" w:id="86"/>
      <w:r>
        <w:rPr>
          <w:rFonts w:eastAsia="等线" w:ascii="Arial" w:cs="Arial" w:hAnsi="Arial"/>
          <w:color w:val="3370ff"/>
          <w:sz w:val="32"/>
        </w:rPr>
        <w:t xml:space="preserve">7. </w:t>
      </w:r>
      <w:r>
        <w:rPr>
          <w:rFonts w:eastAsia="等线" w:ascii="Arial" w:cs="Arial" w:hAnsi="Arial"/>
          <w:b w:val="true"/>
          <w:sz w:val="32"/>
        </w:rPr>
        <w:t>关键设计二：Emission Factor 因子库要分类型</w:t>
      </w:r>
      <w:bookmarkEnd w:id="86"/>
    </w:p>
    <w:p>
      <w:pPr>
        <w:spacing w:before="120" w:after="120" w:line="288" w:lineRule="auto"/>
        <w:ind w:left="0"/>
        <w:jc w:val="left"/>
      </w:pPr>
      <w:r>
        <w:rPr>
          <w:rFonts w:eastAsia="等线" w:ascii="Arial" w:cs="Arial" w:hAnsi="Arial"/>
          <w:sz w:val="22"/>
        </w:rPr>
        <w:t>排放因子不能只存一个数字，要区分边界。</w:t>
      </w:r>
    </w:p>
    <w:p>
      <w:pPr>
        <w:spacing w:before="120" w:after="120" w:line="288" w:lineRule="auto"/>
        <w:ind w:left="0"/>
        <w:jc w:val="left"/>
      </w:pPr>
      <w:r>
        <w:rPr>
          <w:rFonts w:eastAsia="等线" w:ascii="Arial" w:cs="Arial" w:hAnsi="Arial"/>
          <w:sz w:val="22"/>
        </w:rPr>
        <w:t>同样是柴油，可能有：</w:t>
      </w:r>
    </w:p>
    <w:p>
      <w:pPr>
        <w:spacing w:before="120" w:after="120" w:line="288" w:lineRule="auto"/>
        <w:ind w:left="0"/>
      </w:pPr>
      <w:r>
        <w:object>
          <v:shape id="_x0000_i1073" style="width:414pt;height:163pt;mso-width-percent:0;mso-height-percent:0;mso-width-percent:0;mso-height-percent:0" type="#_x0000_t75" o:ole="">
            <v:imagedata r:id="rId105" o:title=""/>
          </v:shape>
          <o:OLEObject DrawAspect="Icon" ObjectID="_1718471267" ProgID="Excel.Sheet.12" ShapeID="_x0000_i1073" Type="Embed" r:id="rId10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Apple 文档也特别区分了 WTT 和 TTW：WTT 属于 Scope 3 Category 3，TTW 属于 Scope 1 直接燃烧。</w:t>
      </w:r>
    </w:p>
    <w:p>
      <w:pPr>
        <w:spacing w:before="120" w:after="120" w:line="288" w:lineRule="auto"/>
        <w:ind w:left="0"/>
        <w:jc w:val="left"/>
      </w:pPr>
      <w:r>
        <w:rPr>
          <w:rFonts w:eastAsia="等线" w:ascii="Arial" w:cs="Arial" w:hAnsi="Arial"/>
          <w:sz w:val="22"/>
        </w:rPr>
        <w:t>所以系统必须防止重复计算：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如果用了 WTW 因子，就不能再额外加 TTW + WTT。</w:t>
              <w:br/>
              <w:t xml:space="preserve"> 如果 Scope 1 用了 TTW，Scope 3 Cat.3 再用 WTT，这是可以的。</w:t>
              <w:br/>
            </w:r>
            <w:r>
              <w:rPr>
                <w:rFonts w:eastAsia="等线" w:ascii="Arial" w:cs="Arial" w:hAnsi="Arial"/>
                <w:color w:val="646a73"/>
                <w:sz w:val="22"/>
              </w:rPr>
              <w:t xml:space="preserve"> 如果材料 PCF 已经包含入厂物流，就不能再重复加一遍物流。</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7" w:id="87"/>
      <w:r>
        <w:rPr>
          <w:rFonts w:eastAsia="等线" w:ascii="Arial" w:cs="Arial" w:hAnsi="Arial"/>
          <w:color w:val="3370ff"/>
          <w:sz w:val="32"/>
        </w:rPr>
        <w:t xml:space="preserve">8. </w:t>
      </w:r>
      <w:r>
        <w:rPr>
          <w:rFonts w:eastAsia="等线" w:ascii="Arial" w:cs="Arial" w:hAnsi="Arial"/>
          <w:b w:val="true"/>
          <w:sz w:val="32"/>
        </w:rPr>
        <w:t>关键设计三：Allocation Engine，分摊引擎</w:t>
      </w:r>
      <w:bookmarkEnd w:id="87"/>
    </w:p>
    <w:p>
      <w:pPr>
        <w:spacing w:before="120" w:after="120" w:line="288" w:lineRule="auto"/>
        <w:ind w:left="0"/>
        <w:jc w:val="left"/>
      </w:pPr>
      <w:r>
        <w:rPr>
          <w:rFonts w:eastAsia="等线" w:ascii="Arial" w:cs="Arial" w:hAnsi="Arial"/>
          <w:sz w:val="22"/>
        </w:rPr>
        <w:t>分摊是 Apple 和 Magna 都会用到的核心能力。</w:t>
      </w:r>
    </w:p>
    <w:p>
      <w:pPr>
        <w:pStyle w:val="3"/>
        <w:spacing w:before="300" w:after="120" w:line="288" w:lineRule="auto"/>
        <w:ind w:left="0"/>
        <w:jc w:val="left"/>
        <w:outlineLvl w:val="2"/>
      </w:pPr>
      <w:bookmarkStart w:name="heading_88" w:id="88"/>
      <w:r>
        <w:rPr>
          <w:rFonts w:eastAsia="等线" w:ascii="Arial" w:cs="Arial" w:hAnsi="Arial"/>
          <w:b w:val="true"/>
          <w:sz w:val="30"/>
        </w:rPr>
        <w:t>Apple 分摊</w:t>
      </w:r>
      <w:bookmarkEnd w:id="88"/>
    </w:p>
    <w:p>
      <w:pPr>
        <w:spacing w:before="120" w:after="120" w:line="288" w:lineRule="auto"/>
        <w:ind w:left="0"/>
        <w:jc w:val="left"/>
      </w:pPr>
      <w:r>
        <w:rPr>
          <w:rFonts w:eastAsia="等线" w:ascii="Arial" w:cs="Arial" w:hAnsi="Arial"/>
          <w:sz w:val="22"/>
        </w:rPr>
        <w:t>按照文档优先级：</w:t>
      </w:r>
    </w:p>
    <w:p>
      <w:pPr>
        <w:numPr>
          <w:numId w:val="174"/>
        </w:numPr>
        <w:spacing w:before="120" w:after="120" w:line="288" w:lineRule="auto"/>
        <w:ind w:left="0"/>
        <w:jc w:val="left"/>
      </w:pPr>
      <w:r>
        <w:rPr>
          <w:rFonts w:eastAsia="等线" w:ascii="Arial" w:cs="Arial" w:hAnsi="Arial"/>
          <w:sz w:val="22"/>
        </w:rPr>
        <w:t xml:space="preserve"> 分表法； </w:t>
      </w:r>
    </w:p>
    <w:p>
      <w:pPr>
        <w:numPr>
          <w:numId w:val="175"/>
        </w:numPr>
        <w:spacing w:before="120" w:after="120" w:line="288" w:lineRule="auto"/>
        <w:ind w:left="0"/>
        <w:jc w:val="left"/>
      </w:pPr>
      <w:r>
        <w:rPr>
          <w:rFonts w:eastAsia="等线" w:ascii="Arial" w:cs="Arial" w:hAnsi="Arial"/>
          <w:sz w:val="22"/>
        </w:rPr>
        <w:t xml:space="preserve"> 产量法； </w:t>
      </w:r>
    </w:p>
    <w:p>
      <w:pPr>
        <w:numPr>
          <w:numId w:val="176"/>
        </w:numPr>
        <w:spacing w:before="120" w:after="120" w:line="288" w:lineRule="auto"/>
        <w:ind w:left="0"/>
        <w:jc w:val="left"/>
      </w:pPr>
      <w:r>
        <w:rPr>
          <w:rFonts w:eastAsia="等线" w:ascii="Arial" w:cs="Arial" w:hAnsi="Arial"/>
          <w:sz w:val="22"/>
        </w:rPr>
        <w:t xml:space="preserve"> 销售额法； </w:t>
      </w:r>
    </w:p>
    <w:p>
      <w:pPr>
        <w:numPr>
          <w:numId w:val="177"/>
        </w:numPr>
        <w:spacing w:before="120" w:after="120" w:line="288" w:lineRule="auto"/>
        <w:ind w:left="0"/>
        <w:jc w:val="left"/>
      </w:pPr>
      <w:r>
        <w:rPr>
          <w:rFonts w:eastAsia="等线" w:ascii="Arial" w:cs="Arial" w:hAnsi="Arial"/>
          <w:sz w:val="22"/>
        </w:rPr>
        <w:t xml:space="preserve"> 其他方法需客户批准。 </w:t>
      </w:r>
    </w:p>
    <w:p>
      <w:pPr>
        <w:pStyle w:val="3"/>
        <w:spacing w:before="300" w:after="120" w:line="288" w:lineRule="auto"/>
        <w:ind w:left="0"/>
        <w:jc w:val="left"/>
        <w:outlineLvl w:val="2"/>
      </w:pPr>
      <w:bookmarkStart w:name="heading_89" w:id="89"/>
      <w:r>
        <w:rPr>
          <w:rFonts w:eastAsia="等线" w:ascii="Arial" w:cs="Arial" w:hAnsi="Arial"/>
          <w:b w:val="true"/>
          <w:sz w:val="30"/>
        </w:rPr>
        <w:t>Magna 分摊</w:t>
      </w:r>
      <w:bookmarkEnd w:id="89"/>
    </w:p>
    <w:p>
      <w:pPr>
        <w:spacing w:before="120" w:after="120" w:line="288" w:lineRule="auto"/>
        <w:ind w:left="0"/>
        <w:jc w:val="left"/>
      </w:pPr>
      <w:r>
        <w:rPr>
          <w:rFonts w:eastAsia="等线" w:ascii="Arial" w:cs="Arial" w:hAnsi="Arial"/>
          <w:sz w:val="22"/>
        </w:rPr>
        <w:t>需要更复杂：</w:t>
      </w:r>
    </w:p>
    <w:p>
      <w:pPr>
        <w:spacing w:before="120" w:after="120" w:line="288" w:lineRule="auto"/>
        <w:ind w:left="0"/>
      </w:pPr>
      <w:r>
        <w:object>
          <v:shape id="_x0000_i1074" style="width:414pt;height:182pt;mso-width-percent:0;mso-height-percent:0;mso-width-percent:0;mso-height-percent:0" type="#_x0000_t75" o:ole="">
            <v:imagedata r:id="rId107" o:title=""/>
          </v:shape>
          <o:OLEObject DrawAspect="Icon" ObjectID="_1718471268" ProgID="Excel.Sheet.12" ShapeID="_x0000_i1074" Type="Embed" r:id="rId10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所以分摊引擎要支持：</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一个 activity 可以按不同 driver 分摊到 customer / product / lifecycle stage。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0" w:id="90"/>
      <w:r>
        <w:rPr>
          <w:rFonts w:eastAsia="等线" w:ascii="Arial" w:cs="Arial" w:hAnsi="Arial"/>
          <w:color w:val="3370ff"/>
          <w:sz w:val="32"/>
        </w:rPr>
        <w:t xml:space="preserve">9. </w:t>
      </w:r>
      <w:r>
        <w:rPr>
          <w:rFonts w:eastAsia="等线" w:ascii="Arial" w:cs="Arial" w:hAnsi="Arial"/>
          <w:b w:val="true"/>
          <w:sz w:val="32"/>
        </w:rPr>
        <w:t>关键设计四：Product Model 要支持“轻产品”和“复杂产品”</w:t>
      </w:r>
      <w:bookmarkEnd w:id="90"/>
    </w:p>
    <w:p>
      <w:pPr>
        <w:spacing w:before="120" w:after="120" w:line="288" w:lineRule="auto"/>
        <w:ind w:left="0"/>
        <w:jc w:val="left"/>
      </w:pPr>
      <w:r>
        <w:rPr>
          <w:rFonts w:eastAsia="等线" w:ascii="Arial" w:cs="Arial" w:hAnsi="Arial"/>
          <w:sz w:val="22"/>
        </w:rPr>
        <w:t>Apple 供应链产品可能是：</w:t>
      </w:r>
    </w:p>
    <w:p>
      <w:pPr>
        <w:numPr>
          <w:numId w:val="178"/>
        </w:numPr>
        <w:spacing w:before="120" w:after="120" w:line="288" w:lineRule="auto"/>
        <w:ind w:left="0"/>
        <w:jc w:val="left"/>
      </w:pPr>
      <w:r>
        <w:rPr>
          <w:rFonts w:eastAsia="等线" w:ascii="Arial" w:cs="Arial" w:hAnsi="Arial"/>
          <w:sz w:val="22"/>
        </w:rPr>
        <w:t xml:space="preserve"> APN； </w:t>
      </w:r>
    </w:p>
    <w:p>
      <w:pPr>
        <w:numPr>
          <w:numId w:val="179"/>
        </w:numPr>
        <w:spacing w:before="120" w:after="120" w:line="288" w:lineRule="auto"/>
        <w:ind w:left="0"/>
        <w:jc w:val="left"/>
      </w:pPr>
      <w:r>
        <w:rPr>
          <w:rFonts w:eastAsia="等线" w:ascii="Arial" w:cs="Arial" w:hAnsi="Arial"/>
          <w:sz w:val="22"/>
        </w:rPr>
        <w:t xml:space="preserve"> 零件； </w:t>
      </w:r>
    </w:p>
    <w:p>
      <w:pPr>
        <w:numPr>
          <w:numId w:val="180"/>
        </w:numPr>
        <w:spacing w:before="120" w:after="120" w:line="288" w:lineRule="auto"/>
        <w:ind w:left="0"/>
        <w:jc w:val="left"/>
      </w:pPr>
      <w:r>
        <w:rPr>
          <w:rFonts w:eastAsia="等线" w:ascii="Arial" w:cs="Arial" w:hAnsi="Arial"/>
          <w:sz w:val="22"/>
        </w:rPr>
        <w:t xml:space="preserve"> 模组； </w:t>
      </w:r>
    </w:p>
    <w:p>
      <w:pPr>
        <w:numPr>
          <w:numId w:val="181"/>
        </w:numPr>
        <w:spacing w:before="120" w:after="120" w:line="288" w:lineRule="auto"/>
        <w:ind w:left="0"/>
        <w:jc w:val="left"/>
      </w:pPr>
      <w:r>
        <w:rPr>
          <w:rFonts w:eastAsia="等线" w:ascii="Arial" w:cs="Arial" w:hAnsi="Arial"/>
          <w:sz w:val="22"/>
        </w:rPr>
        <w:t xml:space="preserve"> cm² OLED； </w:t>
      </w:r>
    </w:p>
    <w:p>
      <w:pPr>
        <w:numPr>
          <w:numId w:val="182"/>
        </w:numPr>
        <w:spacing w:before="120" w:after="120" w:line="288" w:lineRule="auto"/>
        <w:ind w:left="0"/>
        <w:jc w:val="left"/>
      </w:pPr>
      <w:r>
        <w:rPr>
          <w:rFonts w:eastAsia="等线" w:ascii="Arial" w:cs="Arial" w:hAnsi="Arial"/>
          <w:sz w:val="22"/>
        </w:rPr>
        <w:t xml:space="preserve"> kg 材料； </w:t>
      </w:r>
    </w:p>
    <w:p>
      <w:pPr>
        <w:numPr>
          <w:numId w:val="183"/>
        </w:numPr>
        <w:spacing w:before="120" w:after="120" w:line="288" w:lineRule="auto"/>
        <w:ind w:left="0"/>
        <w:jc w:val="left"/>
      </w:pPr>
      <w:r>
        <w:rPr>
          <w:rFonts w:eastAsia="等线" w:ascii="Arial" w:cs="Arial" w:hAnsi="Arial"/>
          <w:sz w:val="22"/>
        </w:rPr>
        <w:t xml:space="preserve"> 件数。 </w:t>
      </w:r>
    </w:p>
    <w:p>
      <w:pPr>
        <w:spacing w:before="120" w:after="120" w:line="288" w:lineRule="auto"/>
        <w:ind w:left="0"/>
        <w:jc w:val="left"/>
      </w:pPr>
      <w:r>
        <w:rPr>
          <w:rFonts w:eastAsia="等线" w:ascii="Arial" w:cs="Arial" w:hAnsi="Arial"/>
          <w:sz w:val="22"/>
        </w:rPr>
        <w:t>Magna 产品是：</w:t>
      </w:r>
    </w:p>
    <w:p>
      <w:pPr>
        <w:numPr>
          <w:numId w:val="184"/>
        </w:numPr>
        <w:spacing w:before="120" w:after="120" w:line="288" w:lineRule="auto"/>
        <w:ind w:left="0"/>
        <w:jc w:val="left"/>
      </w:pPr>
      <w:r>
        <w:rPr>
          <w:rFonts w:eastAsia="等线" w:ascii="Arial" w:cs="Arial" w:hAnsi="Arial"/>
          <w:sz w:val="22"/>
        </w:rPr>
        <w:t xml:space="preserve"> 车型； </w:t>
      </w:r>
    </w:p>
    <w:p>
      <w:pPr>
        <w:numPr>
          <w:numId w:val="185"/>
        </w:numPr>
        <w:spacing w:before="120" w:after="120" w:line="288" w:lineRule="auto"/>
        <w:ind w:left="0"/>
        <w:jc w:val="left"/>
      </w:pPr>
      <w:r>
        <w:rPr>
          <w:rFonts w:eastAsia="等线" w:ascii="Arial" w:cs="Arial" w:hAnsi="Arial"/>
          <w:sz w:val="22"/>
        </w:rPr>
        <w:t xml:space="preserve"> 动力版本； </w:t>
      </w:r>
    </w:p>
    <w:p>
      <w:pPr>
        <w:numPr>
          <w:numId w:val="186"/>
        </w:numPr>
        <w:spacing w:before="120" w:after="120" w:line="288" w:lineRule="auto"/>
        <w:ind w:left="0"/>
        <w:jc w:val="left"/>
      </w:pPr>
      <w:r>
        <w:rPr>
          <w:rFonts w:eastAsia="等线" w:ascii="Arial" w:cs="Arial" w:hAnsi="Arial"/>
          <w:sz w:val="22"/>
        </w:rPr>
        <w:t xml:space="preserve"> 配置； </w:t>
      </w:r>
    </w:p>
    <w:p>
      <w:pPr>
        <w:numPr>
          <w:numId w:val="187"/>
        </w:numPr>
        <w:spacing w:before="120" w:after="120" w:line="288" w:lineRule="auto"/>
        <w:ind w:left="0"/>
        <w:jc w:val="left"/>
      </w:pPr>
      <w:r>
        <w:rPr>
          <w:rFonts w:eastAsia="等线" w:ascii="Arial" w:cs="Arial" w:hAnsi="Arial"/>
          <w:sz w:val="22"/>
        </w:rPr>
        <w:t xml:space="preserve"> 颜色； </w:t>
      </w:r>
    </w:p>
    <w:p>
      <w:pPr>
        <w:numPr>
          <w:numId w:val="188"/>
        </w:numPr>
        <w:spacing w:before="120" w:after="120" w:line="288" w:lineRule="auto"/>
        <w:ind w:left="0"/>
        <w:jc w:val="left"/>
      </w:pPr>
      <w:r>
        <w:rPr>
          <w:rFonts w:eastAsia="等线" w:ascii="Arial" w:cs="Arial" w:hAnsi="Arial"/>
          <w:sz w:val="22"/>
        </w:rPr>
        <w:t xml:space="preserve"> 车身版本； </w:t>
      </w:r>
    </w:p>
    <w:p>
      <w:pPr>
        <w:numPr>
          <w:numId w:val="189"/>
        </w:numPr>
        <w:spacing w:before="120" w:after="120" w:line="288" w:lineRule="auto"/>
        <w:ind w:left="0"/>
        <w:jc w:val="left"/>
      </w:pPr>
      <w:r>
        <w:rPr>
          <w:rFonts w:eastAsia="等线" w:ascii="Arial" w:cs="Arial" w:hAnsi="Arial"/>
          <w:sz w:val="22"/>
        </w:rPr>
        <w:t xml:space="preserve"> 批次； </w:t>
      </w:r>
    </w:p>
    <w:p>
      <w:pPr>
        <w:numPr>
          <w:numId w:val="190"/>
        </w:numPr>
        <w:spacing w:before="120" w:after="120" w:line="288" w:lineRule="auto"/>
        <w:ind w:left="0"/>
        <w:jc w:val="left"/>
      </w:pPr>
      <w:r>
        <w:rPr>
          <w:rFonts w:eastAsia="等线" w:ascii="Arial" w:cs="Arial" w:hAnsi="Arial"/>
          <w:sz w:val="22"/>
        </w:rPr>
        <w:t xml:space="preserve"> VIN； </w:t>
      </w:r>
    </w:p>
    <w:p>
      <w:pPr>
        <w:numPr>
          <w:numId w:val="191"/>
        </w:numPr>
        <w:spacing w:before="120" w:after="120" w:line="288" w:lineRule="auto"/>
        <w:ind w:left="0"/>
        <w:jc w:val="left"/>
      </w:pPr>
      <w:r>
        <w:rPr>
          <w:rFonts w:eastAsia="等线" w:ascii="Arial" w:cs="Arial" w:hAnsi="Arial"/>
          <w:sz w:val="22"/>
        </w:rPr>
        <w:t xml:space="preserve"> 良品/返修/报废状态。 </w:t>
      </w:r>
    </w:p>
    <w:p>
      <w:pPr>
        <w:spacing w:before="120" w:after="120" w:line="288" w:lineRule="auto"/>
        <w:ind w:left="0"/>
        <w:jc w:val="left"/>
      </w:pPr>
      <w:r>
        <w:rPr>
          <w:rFonts w:eastAsia="等线" w:ascii="Arial" w:cs="Arial" w:hAnsi="Arial"/>
          <w:sz w:val="22"/>
        </w:rPr>
        <w:t>所以产品模型不能只做一层 product 表，建议做成：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Product Family</w:t>
              <w:br/>
              <w:t xml:space="preserve"> Product Model</w:t>
              <w:br/>
              <w:t xml:space="preserve"> Product Variant</w:t>
              <w:br/>
              <w:t xml:space="preserve"> Product Configuration</w:t>
              <w:br/>
            </w:r>
            <w:r>
              <w:rPr>
                <w:rFonts w:eastAsia="等线" w:ascii="Arial" w:cs="Arial" w:hAnsi="Arial"/>
                <w:color w:val="646a73"/>
                <w:sz w:val="22"/>
              </w:rPr>
              <w:t xml:space="preserve"> Product Unit / Batch</w:t>
            </w:r>
          </w:p>
        </w:tc>
      </w:tr>
    </w:tbl>
    <w:p>
      <w:pPr>
        <w:spacing w:before="120" w:after="120" w:line="288" w:lineRule="auto"/>
        <w:ind w:left="0"/>
        <w:jc w:val="left"/>
      </w:pPr>
      <w:r>
        <w:rPr>
          <w:rFonts w:eastAsia="等线" w:ascii="Arial" w:cs="Arial" w:hAnsi="Arial"/>
          <w:sz w:val="22"/>
        </w:rPr>
        <w:t>例如：</w:t>
      </w:r>
    </w:p>
    <w:p>
      <w:pPr>
        <w:spacing w:before="120" w:after="120" w:line="288" w:lineRule="auto"/>
        <w:ind w:left="0"/>
      </w:pPr>
      <w:r>
        <w:object>
          <v:shape id="_x0000_i1075" style="width:414pt;height:109pt;mso-width-percent:0;mso-height-percent:0;mso-width-percent:0;mso-height-percent:0" type="#_x0000_t75" o:ole="">
            <v:imagedata r:id="rId109" o:title=""/>
          </v:shape>
          <o:OLEObject DrawAspect="Icon" ObjectID="_1718471269" ProgID="Excel.Sheet.12" ShapeID="_x0000_i1075" Type="Embed" r:id="rId10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这样未来复用会更强。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1" w:id="91"/>
      <w:r>
        <w:rPr>
          <w:rFonts w:eastAsia="等线" w:ascii="Arial" w:cs="Arial" w:hAnsi="Arial"/>
          <w:color w:val="3370ff"/>
          <w:sz w:val="32"/>
        </w:rPr>
        <w:t xml:space="preserve">10. </w:t>
      </w:r>
      <w:r>
        <w:rPr>
          <w:rFonts w:eastAsia="等线" w:ascii="Arial" w:cs="Arial" w:hAnsi="Arial"/>
          <w:b w:val="true"/>
          <w:sz w:val="32"/>
        </w:rPr>
        <w:t>关键设计五：Lifecycle Stage 要做成枚举/配置，不要写死</w:t>
      </w:r>
      <w:bookmarkEnd w:id="91"/>
    </w:p>
    <w:p>
      <w:pPr>
        <w:spacing w:before="120" w:after="120" w:line="288" w:lineRule="auto"/>
        <w:ind w:left="0"/>
        <w:jc w:val="left"/>
      </w:pPr>
      <w:r>
        <w:rPr>
          <w:rFonts w:eastAsia="等线" w:ascii="Arial" w:cs="Arial" w:hAnsi="Arial"/>
          <w:sz w:val="22"/>
        </w:rPr>
        <w:t>建议底层统一定义生命周期阶段：</w:t>
      </w:r>
    </w:p>
    <w:p>
      <w:pPr>
        <w:spacing w:before="120" w:after="120" w:line="288" w:lineRule="auto"/>
        <w:ind w:left="0"/>
      </w:pPr>
      <w:r>
        <w:object>
          <v:shape id="_x0000_i1076" style="width:414pt;height:197pt;mso-width-percent:0;mso-height-percent:0;mso-width-percent:0;mso-height-percent:0" type="#_x0000_t75" o:ole="">
            <v:imagedata r:id="rId111" o:title=""/>
          </v:shape>
          <o:OLEObject DrawAspect="Icon" ObjectID="_1718471270" ProgID="Excel.Sheet.12" ShapeID="_x0000_i1076" Type="Embed" r:id="rId11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shd w:fill="fff67a"/>
        </w:rPr>
        <w:t>Apple Upstream 只启用前面几个；Magna Full LCA 启用全部</w:t>
      </w:r>
      <w:r>
        <w:rPr>
          <w:rFonts w:eastAsia="等线" w:ascii="Arial" w:cs="Arial" w:hAnsi="Arial"/>
          <w:sz w:val="22"/>
        </w:rPr>
        <w:t>。</w:t>
      </w:r>
    </w:p>
    <w:p>
      <w:pPr>
        <w:spacing w:before="120" w:after="120" w:line="288" w:lineRule="auto"/>
        <w:ind w:left="0"/>
        <w:jc w:val="left"/>
      </w:pPr>
      <w:r>
        <w:rPr>
          <w:rFonts w:eastAsia="等线" w:ascii="Arial" w:cs="Arial" w:hAnsi="Arial"/>
          <w:sz w:val="22"/>
        </w:rPr>
        <w:t>这就是复用的关键。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2" w:id="92"/>
      <w:r>
        <w:rPr>
          <w:rFonts w:eastAsia="等线" w:ascii="Arial" w:cs="Arial" w:hAnsi="Arial"/>
          <w:color w:val="3370ff"/>
          <w:sz w:val="32"/>
        </w:rPr>
        <w:t xml:space="preserve">11. </w:t>
      </w:r>
      <w:r>
        <w:rPr>
          <w:rFonts w:eastAsia="等线" w:ascii="Arial" w:cs="Arial" w:hAnsi="Arial"/>
          <w:b w:val="true"/>
          <w:sz w:val="32"/>
        </w:rPr>
        <w:t>关键设计六：Report Profile，输出模板配置</w:t>
      </w:r>
      <w:bookmarkEnd w:id="92"/>
    </w:p>
    <w:p>
      <w:pPr>
        <w:spacing w:before="120" w:after="120" w:line="288" w:lineRule="auto"/>
        <w:ind w:left="0"/>
        <w:jc w:val="left"/>
      </w:pPr>
      <w:r>
        <w:rPr>
          <w:rFonts w:eastAsia="等线" w:ascii="Arial" w:cs="Arial" w:hAnsi="Arial"/>
          <w:sz w:val="22"/>
        </w:rPr>
        <w:t>不要把报表写死。</w:t>
      </w:r>
    </w:p>
    <w:p>
      <w:pPr>
        <w:spacing w:before="120" w:after="120" w:line="288" w:lineRule="auto"/>
        <w:ind w:left="0"/>
        <w:jc w:val="left"/>
      </w:pPr>
      <w:r>
        <w:rPr>
          <w:rFonts w:eastAsia="等线" w:ascii="Arial" w:cs="Arial" w:hAnsi="Arial"/>
          <w:sz w:val="22"/>
        </w:rPr>
        <w:t>应该做一个 Report Profile：</w:t>
      </w:r>
    </w:p>
    <w:p>
      <w:pPr>
        <w:pStyle w:val="3"/>
        <w:spacing w:before="300" w:after="120" w:line="288" w:lineRule="auto"/>
        <w:ind w:left="0"/>
        <w:jc w:val="left"/>
        <w:outlineLvl w:val="2"/>
      </w:pPr>
      <w:bookmarkStart w:name="heading_93" w:id="93"/>
      <w:r>
        <w:rPr>
          <w:rFonts w:eastAsia="等线" w:ascii="Arial" w:cs="Arial" w:hAnsi="Arial"/>
          <w:b w:val="true"/>
          <w:sz w:val="30"/>
        </w:rPr>
        <w:t>Apple Report Profile</w:t>
      </w:r>
      <w:bookmarkEnd w:id="93"/>
    </w:p>
    <w:p>
      <w:pPr>
        <w:spacing w:before="120" w:after="120" w:line="288" w:lineRule="auto"/>
        <w:ind w:left="0"/>
        <w:jc w:val="left"/>
      </w:pPr>
      <w:r>
        <w:rPr>
          <w:rFonts w:eastAsia="等线" w:ascii="Arial" w:cs="Arial" w:hAnsi="Arial"/>
          <w:sz w:val="22"/>
        </w:rPr>
        <w:t>输出：</w:t>
      </w:r>
    </w:p>
    <w:p>
      <w:pPr>
        <w:numPr>
          <w:numId w:val="192"/>
        </w:numPr>
        <w:spacing w:before="120" w:after="120" w:line="288" w:lineRule="auto"/>
        <w:ind w:left="0"/>
        <w:jc w:val="left"/>
      </w:pPr>
      <w:r>
        <w:rPr>
          <w:rFonts w:eastAsia="等线" w:ascii="Arial" w:cs="Arial" w:hAnsi="Arial"/>
          <w:sz w:val="22"/>
        </w:rPr>
        <w:t xml:space="preserve"> Output 1：facility/company level allocated to Apple； </w:t>
      </w:r>
    </w:p>
    <w:p>
      <w:pPr>
        <w:numPr>
          <w:numId w:val="193"/>
        </w:numPr>
        <w:spacing w:before="120" w:after="120" w:line="288" w:lineRule="auto"/>
        <w:ind w:left="0"/>
        <w:jc w:val="left"/>
      </w:pPr>
      <w:r>
        <w:rPr>
          <w:rFonts w:eastAsia="等线" w:ascii="Arial" w:cs="Arial" w:hAnsi="Arial"/>
          <w:sz w:val="22"/>
        </w:rPr>
        <w:t xml:space="preserve"> Output 2：product level / unit； </w:t>
      </w:r>
    </w:p>
    <w:p>
      <w:pPr>
        <w:numPr>
          <w:numId w:val="194"/>
        </w:numPr>
        <w:spacing w:before="120" w:after="120" w:line="288" w:lineRule="auto"/>
        <w:ind w:left="0"/>
        <w:jc w:val="left"/>
      </w:pPr>
      <w:r>
        <w:rPr>
          <w:rFonts w:eastAsia="等线" w:ascii="Arial" w:cs="Arial" w:hAnsi="Arial"/>
          <w:sz w:val="22"/>
        </w:rPr>
        <w:t xml:space="preserve"> 按 Cat.1、Cat.3、Cat.4、Cat.5； </w:t>
      </w:r>
    </w:p>
    <w:p>
      <w:pPr>
        <w:numPr>
          <w:numId w:val="195"/>
        </w:numPr>
        <w:spacing w:before="120" w:after="120" w:line="288" w:lineRule="auto"/>
        <w:ind w:left="0"/>
        <w:jc w:val="left"/>
      </w:pPr>
      <w:r>
        <w:rPr>
          <w:rFonts w:eastAsia="等线" w:ascii="Arial" w:cs="Arial" w:hAnsi="Arial"/>
          <w:sz w:val="22"/>
        </w:rPr>
        <w:t xml:space="preserve"> Scope 1/2 direct； </w:t>
      </w:r>
    </w:p>
    <w:p>
      <w:pPr>
        <w:numPr>
          <w:numId w:val="196"/>
        </w:numPr>
        <w:spacing w:before="120" w:after="120" w:line="288" w:lineRule="auto"/>
        <w:ind w:left="0"/>
        <w:jc w:val="left"/>
      </w:pPr>
      <w:r>
        <w:rPr>
          <w:rFonts w:eastAsia="等线" w:ascii="Arial" w:cs="Arial" w:hAnsi="Arial"/>
          <w:sz w:val="22"/>
        </w:rPr>
        <w:t xml:space="preserve"> Apple FY； </w:t>
      </w:r>
    </w:p>
    <w:p>
      <w:pPr>
        <w:numPr>
          <w:numId w:val="197"/>
        </w:numPr>
        <w:spacing w:before="120" w:after="120" w:line="288" w:lineRule="auto"/>
        <w:ind w:left="0"/>
        <w:jc w:val="left"/>
      </w:pPr>
      <w:r>
        <w:rPr>
          <w:rFonts w:eastAsia="等线" w:ascii="Arial" w:cs="Arial" w:hAnsi="Arial"/>
          <w:sz w:val="22"/>
        </w:rPr>
        <w:t xml:space="preserve"> Apple 模板字段导出。 </w:t>
      </w:r>
    </w:p>
    <w:p>
      <w:pPr>
        <w:spacing w:before="120" w:after="120" w:line="288" w:lineRule="auto"/>
        <w:ind w:left="0"/>
        <w:jc w:val="left"/>
      </w:pPr>
      <w:r>
        <w:rPr>
          <w:rFonts w:eastAsia="等线" w:ascii="Arial" w:cs="Arial" w:hAnsi="Arial"/>
          <w:sz w:val="22"/>
        </w:rPr>
        <w:t>Apple 文档要求数据模板分为 Summary data 和 Detail data，Summary 是供应商层面碳排，Detail 是材料和能源使用明细。</w:t>
      </w:r>
    </w:p>
    <w:p>
      <w:pPr>
        <w:pStyle w:val="3"/>
        <w:spacing w:before="300" w:after="120" w:line="288" w:lineRule="auto"/>
        <w:ind w:left="0"/>
        <w:jc w:val="left"/>
        <w:outlineLvl w:val="2"/>
      </w:pPr>
      <w:bookmarkStart w:name="heading_94" w:id="94"/>
      <w:r>
        <w:rPr>
          <w:rFonts w:eastAsia="等线" w:ascii="Arial" w:cs="Arial" w:hAnsi="Arial"/>
          <w:b w:val="true"/>
          <w:sz w:val="30"/>
        </w:rPr>
        <w:t>Magna Report Profile</w:t>
      </w:r>
      <w:bookmarkEnd w:id="94"/>
    </w:p>
    <w:p>
      <w:pPr>
        <w:spacing w:before="120" w:after="120" w:line="288" w:lineRule="auto"/>
        <w:ind w:left="0"/>
        <w:jc w:val="left"/>
      </w:pPr>
      <w:r>
        <w:rPr>
          <w:rFonts w:eastAsia="等线" w:ascii="Arial" w:cs="Arial" w:hAnsi="Arial"/>
          <w:sz w:val="22"/>
        </w:rPr>
        <w:t>输出：</w:t>
      </w:r>
    </w:p>
    <w:p>
      <w:pPr>
        <w:numPr>
          <w:numId w:val="198"/>
        </w:numPr>
        <w:spacing w:before="120" w:after="120" w:line="288" w:lineRule="auto"/>
        <w:ind w:left="0"/>
        <w:jc w:val="left"/>
      </w:pPr>
      <w:r>
        <w:rPr>
          <w:rFonts w:eastAsia="等线" w:ascii="Arial" w:cs="Arial" w:hAnsi="Arial"/>
          <w:sz w:val="22"/>
        </w:rPr>
        <w:t xml:space="preserve"> 组织 Scope 1/2/3 总账； </w:t>
      </w:r>
    </w:p>
    <w:p>
      <w:pPr>
        <w:numPr>
          <w:numId w:val="199"/>
        </w:numPr>
        <w:spacing w:before="120" w:after="120" w:line="288" w:lineRule="auto"/>
        <w:ind w:left="0"/>
        <w:jc w:val="left"/>
      </w:pPr>
      <w:r>
        <w:rPr>
          <w:rFonts w:eastAsia="等线" w:ascii="Arial" w:cs="Arial" w:hAnsi="Arial"/>
          <w:sz w:val="22"/>
        </w:rPr>
        <w:t xml:space="preserve"> 工厂碳排； </w:t>
      </w:r>
    </w:p>
    <w:p>
      <w:pPr>
        <w:numPr>
          <w:numId w:val="200"/>
        </w:numPr>
        <w:spacing w:before="120" w:after="120" w:line="288" w:lineRule="auto"/>
        <w:ind w:left="0"/>
        <w:jc w:val="left"/>
      </w:pPr>
      <w:r>
        <w:rPr>
          <w:rFonts w:eastAsia="等线" w:ascii="Arial" w:cs="Arial" w:hAnsi="Arial"/>
          <w:sz w:val="22"/>
        </w:rPr>
        <w:t xml:space="preserve"> OEM 项目分摊； </w:t>
      </w:r>
    </w:p>
    <w:p>
      <w:pPr>
        <w:numPr>
          <w:numId w:val="201"/>
        </w:numPr>
        <w:spacing w:before="120" w:after="120" w:line="288" w:lineRule="auto"/>
        <w:ind w:left="0"/>
        <w:jc w:val="left"/>
      </w:pPr>
      <w:r>
        <w:rPr>
          <w:rFonts w:eastAsia="等线" w:ascii="Arial" w:cs="Arial" w:hAnsi="Arial"/>
          <w:sz w:val="22"/>
        </w:rPr>
        <w:t xml:space="preserve"> 车型制造端 PCF； </w:t>
      </w:r>
    </w:p>
    <w:p>
      <w:pPr>
        <w:numPr>
          <w:numId w:val="202"/>
        </w:numPr>
        <w:spacing w:before="120" w:after="120" w:line="288" w:lineRule="auto"/>
        <w:ind w:left="0"/>
        <w:jc w:val="left"/>
      </w:pPr>
      <w:r>
        <w:rPr>
          <w:rFonts w:eastAsia="等线" w:ascii="Arial" w:cs="Arial" w:hAnsi="Arial"/>
          <w:sz w:val="22"/>
        </w:rPr>
        <w:t xml:space="preserve"> 车型 Cradle-to-Grave LCA； </w:t>
      </w:r>
    </w:p>
    <w:p>
      <w:pPr>
        <w:numPr>
          <w:numId w:val="203"/>
        </w:numPr>
        <w:spacing w:before="120" w:after="120" w:line="288" w:lineRule="auto"/>
        <w:ind w:left="0"/>
        <w:jc w:val="left"/>
      </w:pPr>
      <w:r>
        <w:rPr>
          <w:rFonts w:eastAsia="等线" w:ascii="Arial" w:cs="Arial" w:hAnsi="Arial"/>
          <w:sz w:val="22"/>
        </w:rPr>
        <w:t xml:space="preserve"> 热点分析； </w:t>
      </w:r>
    </w:p>
    <w:p>
      <w:pPr>
        <w:numPr>
          <w:numId w:val="204"/>
        </w:numPr>
        <w:spacing w:before="120" w:after="120" w:line="288" w:lineRule="auto"/>
        <w:ind w:left="0"/>
        <w:jc w:val="left"/>
      </w:pPr>
      <w:r>
        <w:rPr>
          <w:rFonts w:eastAsia="等线" w:ascii="Arial" w:cs="Arial" w:hAnsi="Arial"/>
          <w:sz w:val="22"/>
        </w:rPr>
        <w:t xml:space="preserve"> 减排情景对比； </w:t>
      </w:r>
    </w:p>
    <w:p>
      <w:pPr>
        <w:numPr>
          <w:numId w:val="205"/>
        </w:numPr>
        <w:spacing w:before="120" w:after="120" w:line="288" w:lineRule="auto"/>
        <w:ind w:left="0"/>
        <w:jc w:val="left"/>
      </w:pPr>
      <w:r>
        <w:rPr>
          <w:rFonts w:eastAsia="等线" w:ascii="Arial" w:cs="Arial" w:hAnsi="Arial"/>
          <w:sz w:val="22"/>
        </w:rPr>
        <w:t xml:space="preserve"> 审查底稿； </w:t>
      </w:r>
    </w:p>
    <w:p>
      <w:pPr>
        <w:numPr>
          <w:numId w:val="206"/>
        </w:numPr>
        <w:spacing w:before="120" w:after="120" w:line="288" w:lineRule="auto"/>
        <w:ind w:left="0"/>
        <w:jc w:val="left"/>
      </w:pPr>
      <w:r>
        <w:rPr>
          <w:rFonts w:eastAsia="等线" w:ascii="Arial" w:cs="Arial" w:hAnsi="Arial"/>
          <w:sz w:val="22"/>
        </w:rPr>
        <w:t xml:space="preserve"> OEM 客户数据包。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5" w:id="95"/>
      <w:r>
        <w:rPr>
          <w:rFonts w:eastAsia="等线" w:ascii="Arial" w:cs="Arial" w:hAnsi="Arial"/>
          <w:color w:val="3370ff"/>
          <w:sz w:val="32"/>
        </w:rPr>
        <w:t xml:space="preserve">12. </w:t>
      </w:r>
      <w:r>
        <w:rPr>
          <w:rFonts w:eastAsia="等线" w:ascii="Arial" w:cs="Arial" w:hAnsi="Arial"/>
          <w:b w:val="true"/>
          <w:sz w:val="32"/>
        </w:rPr>
        <w:t>推荐的开发顺序</w:t>
      </w:r>
      <w:bookmarkEnd w:id="95"/>
    </w:p>
    <w:p>
      <w:pPr>
        <w:spacing w:before="120" w:after="120" w:line="288" w:lineRule="auto"/>
        <w:ind w:left="0"/>
        <w:jc w:val="left"/>
      </w:pPr>
      <w:r>
        <w:rPr>
          <w:rFonts w:eastAsia="等线" w:ascii="Arial" w:cs="Arial" w:hAnsi="Arial"/>
          <w:sz w:val="22"/>
        </w:rPr>
        <w:t>如果你要先开发 Magna，我建议不要一开始就做完整 Cradle-to-Grave，否则周期很长。</w:t>
      </w:r>
    </w:p>
    <w:p>
      <w:pPr>
        <w:spacing w:before="120" w:after="120" w:line="288" w:lineRule="auto"/>
        <w:ind w:left="0"/>
        <w:jc w:val="left"/>
      </w:pPr>
      <w:r>
        <w:rPr>
          <w:rFonts w:eastAsia="等线" w:ascii="Arial" w:cs="Arial" w:hAnsi="Arial"/>
          <w:sz w:val="22"/>
        </w:rPr>
        <w:t>更稳的路线是：</w:t>
      </w:r>
    </w:p>
    <w:p>
      <w:pPr>
        <w:pStyle w:val="3"/>
        <w:spacing w:before="300" w:after="120" w:line="288" w:lineRule="auto"/>
        <w:ind w:left="0"/>
        <w:jc w:val="left"/>
        <w:outlineLvl w:val="2"/>
      </w:pPr>
      <w:bookmarkStart w:name="heading_96" w:id="96"/>
      <w:r>
        <w:rPr>
          <w:rFonts w:eastAsia="等线" w:ascii="Arial" w:cs="Arial" w:hAnsi="Arial"/>
          <w:b w:val="true"/>
          <w:sz w:val="30"/>
        </w:rPr>
        <w:t>Phase 1：通用组织碳 + 制造端 PCF</w:t>
      </w:r>
      <w:bookmarkEnd w:id="96"/>
    </w:p>
    <w:p>
      <w:pPr>
        <w:spacing w:before="120" w:after="120" w:line="288" w:lineRule="auto"/>
        <w:ind w:left="0"/>
        <w:jc w:val="left"/>
      </w:pPr>
      <w:r>
        <w:rPr>
          <w:rFonts w:eastAsia="等线" w:ascii="Arial" w:cs="Arial" w:hAnsi="Arial"/>
          <w:sz w:val="22"/>
        </w:rPr>
        <w:t>先做：</w:t>
      </w:r>
    </w:p>
    <w:p>
      <w:pPr>
        <w:numPr>
          <w:numId w:val="207"/>
        </w:numPr>
        <w:spacing w:before="120" w:after="120" w:line="288" w:lineRule="auto"/>
        <w:ind w:left="0"/>
        <w:jc w:val="left"/>
      </w:pPr>
      <w:r>
        <w:rPr>
          <w:rFonts w:eastAsia="等线" w:ascii="Arial" w:cs="Arial" w:hAnsi="Arial"/>
          <w:sz w:val="22"/>
        </w:rPr>
        <w:t xml:space="preserve"> 组织/工厂； </w:t>
      </w:r>
    </w:p>
    <w:p>
      <w:pPr>
        <w:numPr>
          <w:numId w:val="208"/>
        </w:numPr>
        <w:spacing w:before="120" w:after="120" w:line="288" w:lineRule="auto"/>
        <w:ind w:left="0"/>
        <w:jc w:val="left"/>
      </w:pPr>
      <w:r>
        <w:rPr>
          <w:rFonts w:eastAsia="等线" w:ascii="Arial" w:cs="Arial" w:hAnsi="Arial"/>
          <w:sz w:val="22"/>
        </w:rPr>
        <w:t xml:space="preserve"> Scope 1/2； </w:t>
      </w:r>
    </w:p>
    <w:p>
      <w:pPr>
        <w:numPr>
          <w:numId w:val="209"/>
        </w:numPr>
        <w:spacing w:before="120" w:after="120" w:line="288" w:lineRule="auto"/>
        <w:ind w:left="0"/>
        <w:jc w:val="left"/>
      </w:pPr>
      <w:r>
        <w:rPr>
          <w:rFonts w:eastAsia="等线" w:ascii="Arial" w:cs="Arial" w:hAnsi="Arial"/>
          <w:sz w:val="22"/>
        </w:rPr>
        <w:t xml:space="preserve"> Scope 3 Cat.1/3/4/5； </w:t>
      </w:r>
    </w:p>
    <w:p>
      <w:pPr>
        <w:numPr>
          <w:numId w:val="210"/>
        </w:numPr>
        <w:spacing w:before="120" w:after="120" w:line="288" w:lineRule="auto"/>
        <w:ind w:left="0"/>
        <w:jc w:val="left"/>
      </w:pPr>
      <w:r>
        <w:rPr>
          <w:rFonts w:eastAsia="等线" w:ascii="Arial" w:cs="Arial" w:hAnsi="Arial"/>
          <w:sz w:val="22"/>
        </w:rPr>
        <w:t xml:space="preserve"> 排放因子库； </w:t>
      </w:r>
    </w:p>
    <w:p>
      <w:pPr>
        <w:numPr>
          <w:numId w:val="211"/>
        </w:numPr>
        <w:spacing w:before="120" w:after="120" w:line="288" w:lineRule="auto"/>
        <w:ind w:left="0"/>
        <w:jc w:val="left"/>
      </w:pPr>
      <w:r>
        <w:rPr>
          <w:rFonts w:eastAsia="等线" w:ascii="Arial" w:cs="Arial" w:hAnsi="Arial"/>
          <w:sz w:val="22"/>
        </w:rPr>
        <w:t xml:space="preserve"> 分摊引擎； </w:t>
      </w:r>
    </w:p>
    <w:p>
      <w:pPr>
        <w:numPr>
          <w:numId w:val="212"/>
        </w:numPr>
        <w:spacing w:before="120" w:after="120" w:line="288" w:lineRule="auto"/>
        <w:ind w:left="0"/>
        <w:jc w:val="left"/>
      </w:pPr>
      <w:r>
        <w:rPr>
          <w:rFonts w:eastAsia="等线" w:ascii="Arial" w:cs="Arial" w:hAnsi="Arial"/>
          <w:sz w:val="22"/>
        </w:rPr>
        <w:t xml:space="preserve"> BOM； </w:t>
      </w:r>
    </w:p>
    <w:p>
      <w:pPr>
        <w:numPr>
          <w:numId w:val="213"/>
        </w:numPr>
        <w:spacing w:before="120" w:after="120" w:line="288" w:lineRule="auto"/>
        <w:ind w:left="0"/>
        <w:jc w:val="left"/>
      </w:pPr>
      <w:r>
        <w:rPr>
          <w:rFonts w:eastAsia="等线" w:ascii="Arial" w:cs="Arial" w:hAnsi="Arial"/>
          <w:sz w:val="22"/>
        </w:rPr>
        <w:t xml:space="preserve"> 物流； </w:t>
      </w:r>
    </w:p>
    <w:p>
      <w:pPr>
        <w:numPr>
          <w:numId w:val="214"/>
        </w:numPr>
        <w:spacing w:before="120" w:after="120" w:line="288" w:lineRule="auto"/>
        <w:ind w:left="0"/>
        <w:jc w:val="left"/>
      </w:pPr>
      <w:r>
        <w:rPr>
          <w:rFonts w:eastAsia="等线" w:ascii="Arial" w:cs="Arial" w:hAnsi="Arial"/>
          <w:sz w:val="22"/>
        </w:rPr>
        <w:t xml:space="preserve"> 废弃物； </w:t>
      </w:r>
    </w:p>
    <w:p>
      <w:pPr>
        <w:numPr>
          <w:numId w:val="215"/>
        </w:numPr>
        <w:spacing w:before="120" w:after="120" w:line="288" w:lineRule="auto"/>
        <w:ind w:left="0"/>
        <w:jc w:val="left"/>
      </w:pPr>
      <w:r>
        <w:rPr>
          <w:rFonts w:eastAsia="等线" w:ascii="Arial" w:cs="Arial" w:hAnsi="Arial"/>
          <w:sz w:val="22"/>
        </w:rPr>
        <w:t xml:space="preserve"> 产品单位碳排； </w:t>
      </w:r>
    </w:p>
    <w:p>
      <w:pPr>
        <w:numPr>
          <w:numId w:val="216"/>
        </w:numPr>
        <w:spacing w:before="120" w:after="120" w:line="288" w:lineRule="auto"/>
        <w:ind w:left="0"/>
        <w:jc w:val="left"/>
      </w:pPr>
      <w:r>
        <w:rPr>
          <w:rFonts w:eastAsia="等线" w:ascii="Arial" w:cs="Arial" w:hAnsi="Arial"/>
          <w:sz w:val="22"/>
        </w:rPr>
        <w:t xml:space="preserve"> 凭证和审计底稿。 </w:t>
      </w:r>
    </w:p>
    <w:p>
      <w:pPr>
        <w:spacing w:before="120" w:after="120" w:line="288" w:lineRule="auto"/>
        <w:ind w:left="0"/>
        <w:jc w:val="left"/>
      </w:pPr>
      <w:r>
        <w:rPr>
          <w:rFonts w:eastAsia="等线" w:ascii="Arial" w:cs="Arial" w:hAnsi="Arial"/>
          <w:sz w:val="22"/>
        </w:rPr>
        <w:t>这个阶段做完，</w:t>
      </w:r>
      <w:r>
        <w:rPr>
          <w:rFonts w:eastAsia="等线" w:ascii="Arial" w:cs="Arial" w:hAnsi="Arial"/>
          <w:b w:val="true"/>
          <w:sz w:val="22"/>
        </w:rPr>
        <w:t>Apple 前端供应链 70% 以上的底层能力已经有了</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7" w:id="97"/>
      <w:r>
        <w:rPr>
          <w:rFonts w:eastAsia="等线" w:ascii="Arial" w:cs="Arial" w:hAnsi="Arial"/>
          <w:b w:val="true"/>
          <w:sz w:val="30"/>
        </w:rPr>
        <w:t>Phase 2：Magna 汽车制造增强</w:t>
      </w:r>
      <w:bookmarkEnd w:id="97"/>
    </w:p>
    <w:p>
      <w:pPr>
        <w:spacing w:before="120" w:after="120" w:line="288" w:lineRule="auto"/>
        <w:ind w:left="0"/>
        <w:jc w:val="left"/>
      </w:pPr>
      <w:r>
        <w:rPr>
          <w:rFonts w:eastAsia="等线" w:ascii="Arial" w:cs="Arial" w:hAnsi="Arial"/>
          <w:sz w:val="22"/>
        </w:rPr>
        <w:t>再做：</w:t>
      </w:r>
    </w:p>
    <w:p>
      <w:pPr>
        <w:numPr>
          <w:numId w:val="217"/>
        </w:numPr>
        <w:spacing w:before="120" w:after="120" w:line="288" w:lineRule="auto"/>
        <w:ind w:left="0"/>
        <w:jc w:val="left"/>
      </w:pPr>
      <w:r>
        <w:rPr>
          <w:rFonts w:eastAsia="等线" w:ascii="Arial" w:cs="Arial" w:hAnsi="Arial"/>
          <w:sz w:val="22"/>
        </w:rPr>
        <w:t xml:space="preserve"> 冲压/焊装/涂装/总装工艺模型； </w:t>
      </w:r>
    </w:p>
    <w:p>
      <w:pPr>
        <w:numPr>
          <w:numId w:val="218"/>
        </w:numPr>
        <w:spacing w:before="120" w:after="120" w:line="288" w:lineRule="auto"/>
        <w:ind w:left="0"/>
        <w:jc w:val="left"/>
      </w:pPr>
      <w:r>
        <w:rPr>
          <w:rFonts w:eastAsia="等线" w:ascii="Arial" w:cs="Arial" w:hAnsi="Arial"/>
          <w:sz w:val="22"/>
        </w:rPr>
        <w:t xml:space="preserve"> 车身面积、喷涂面积、工时、机器小时； </w:t>
      </w:r>
    </w:p>
    <w:p>
      <w:pPr>
        <w:numPr>
          <w:numId w:val="219"/>
        </w:numPr>
        <w:spacing w:before="120" w:after="120" w:line="288" w:lineRule="auto"/>
        <w:ind w:left="0"/>
        <w:jc w:val="left"/>
      </w:pPr>
      <w:r>
        <w:rPr>
          <w:rFonts w:eastAsia="等线" w:ascii="Arial" w:cs="Arial" w:hAnsi="Arial"/>
          <w:sz w:val="22"/>
        </w:rPr>
        <w:t xml:space="preserve"> 车型/配置/VIN； </w:t>
      </w:r>
    </w:p>
    <w:p>
      <w:pPr>
        <w:numPr>
          <w:numId w:val="220"/>
        </w:numPr>
        <w:spacing w:before="120" w:after="120" w:line="288" w:lineRule="auto"/>
        <w:ind w:left="0"/>
        <w:jc w:val="left"/>
      </w:pPr>
      <w:r>
        <w:rPr>
          <w:rFonts w:eastAsia="等线" w:ascii="Arial" w:cs="Arial" w:hAnsi="Arial"/>
          <w:sz w:val="22"/>
        </w:rPr>
        <w:t xml:space="preserve"> 良率、返修、报废； </w:t>
      </w:r>
    </w:p>
    <w:p>
      <w:pPr>
        <w:numPr>
          <w:numId w:val="221"/>
        </w:numPr>
        <w:spacing w:before="120" w:after="120" w:line="288" w:lineRule="auto"/>
        <w:ind w:left="0"/>
        <w:jc w:val="left"/>
      </w:pPr>
      <w:r>
        <w:rPr>
          <w:rFonts w:eastAsia="等线" w:ascii="Arial" w:cs="Arial" w:hAnsi="Arial"/>
          <w:sz w:val="22"/>
        </w:rPr>
        <w:t xml:space="preserve"> OEM 项目分摊； </w:t>
      </w:r>
    </w:p>
    <w:p>
      <w:pPr>
        <w:numPr>
          <w:numId w:val="222"/>
        </w:numPr>
        <w:spacing w:before="120" w:after="120" w:line="288" w:lineRule="auto"/>
        <w:ind w:left="0"/>
        <w:jc w:val="left"/>
      </w:pPr>
      <w:r>
        <w:rPr>
          <w:rFonts w:eastAsia="等线" w:ascii="Arial" w:cs="Arial" w:hAnsi="Arial"/>
          <w:sz w:val="22"/>
        </w:rPr>
        <w:t xml:space="preserve"> 多车型共线分摊。 </w:t>
      </w:r>
    </w:p>
    <w:p>
      <w:pPr>
        <w:spacing w:before="120" w:after="120" w:line="288" w:lineRule="auto"/>
        <w:ind w:left="0"/>
        <w:jc w:val="left"/>
      </w:pPr>
      <w:r>
        <w:rPr>
          <w:rFonts w:eastAsia="等线" w:ascii="Arial" w:cs="Arial" w:hAnsi="Arial"/>
          <w:sz w:val="22"/>
        </w:rPr>
        <w:t>这部分 Apple 不一定需要，但对汽车非常关键。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8" w:id="98"/>
      <w:r>
        <w:rPr>
          <w:rFonts w:eastAsia="等线" w:ascii="Arial" w:cs="Arial" w:hAnsi="Arial"/>
          <w:b w:val="true"/>
          <w:sz w:val="30"/>
        </w:rPr>
        <w:t>Phase 3：Magna Full Vehicle LCA</w:t>
      </w:r>
      <w:bookmarkEnd w:id="98"/>
    </w:p>
    <w:p>
      <w:pPr>
        <w:spacing w:before="120" w:after="120" w:line="288" w:lineRule="auto"/>
        <w:ind w:left="0"/>
        <w:jc w:val="left"/>
      </w:pPr>
      <w:r>
        <w:rPr>
          <w:rFonts w:eastAsia="等线" w:ascii="Arial" w:cs="Arial" w:hAnsi="Arial"/>
          <w:sz w:val="22"/>
        </w:rPr>
        <w:t>最后做：</w:t>
      </w:r>
    </w:p>
    <w:p>
      <w:pPr>
        <w:numPr>
          <w:numId w:val="223"/>
        </w:numPr>
        <w:spacing w:before="120" w:after="120" w:line="288" w:lineRule="auto"/>
        <w:ind w:left="0"/>
        <w:jc w:val="left"/>
      </w:pPr>
      <w:r>
        <w:rPr>
          <w:rFonts w:eastAsia="等线" w:ascii="Arial" w:cs="Arial" w:hAnsi="Arial"/>
          <w:sz w:val="22"/>
        </w:rPr>
        <w:t xml:space="preserve"> 使用阶段； </w:t>
      </w:r>
    </w:p>
    <w:p>
      <w:pPr>
        <w:numPr>
          <w:numId w:val="224"/>
        </w:numPr>
        <w:spacing w:before="120" w:after="120" w:line="288" w:lineRule="auto"/>
        <w:ind w:left="0"/>
        <w:jc w:val="left"/>
      </w:pPr>
      <w:r>
        <w:rPr>
          <w:rFonts w:eastAsia="等线" w:ascii="Arial" w:cs="Arial" w:hAnsi="Arial"/>
          <w:sz w:val="22"/>
        </w:rPr>
        <w:t xml:space="preserve"> 维修维护； </w:t>
      </w:r>
    </w:p>
    <w:p>
      <w:pPr>
        <w:numPr>
          <w:numId w:val="225"/>
        </w:numPr>
        <w:spacing w:before="120" w:after="120" w:line="288" w:lineRule="auto"/>
        <w:ind w:left="0"/>
        <w:jc w:val="left"/>
      </w:pPr>
      <w:r>
        <w:rPr>
          <w:rFonts w:eastAsia="等线" w:ascii="Arial" w:cs="Arial" w:hAnsi="Arial"/>
          <w:sz w:val="22"/>
        </w:rPr>
        <w:t xml:space="preserve"> 报废回收； </w:t>
      </w:r>
    </w:p>
    <w:p>
      <w:pPr>
        <w:numPr>
          <w:numId w:val="226"/>
        </w:numPr>
        <w:spacing w:before="120" w:after="120" w:line="288" w:lineRule="auto"/>
        <w:ind w:left="0"/>
        <w:jc w:val="left"/>
      </w:pPr>
      <w:r>
        <w:rPr>
          <w:rFonts w:eastAsia="等线" w:ascii="Arial" w:cs="Arial" w:hAnsi="Arial"/>
          <w:sz w:val="22"/>
        </w:rPr>
        <w:t xml:space="preserve"> 电池生命周期； </w:t>
      </w:r>
    </w:p>
    <w:p>
      <w:pPr>
        <w:numPr>
          <w:numId w:val="227"/>
        </w:numPr>
        <w:spacing w:before="120" w:after="120" w:line="288" w:lineRule="auto"/>
        <w:ind w:left="0"/>
        <w:jc w:val="left"/>
      </w:pPr>
      <w:r>
        <w:rPr>
          <w:rFonts w:eastAsia="等线" w:ascii="Arial" w:cs="Arial" w:hAnsi="Arial"/>
          <w:sz w:val="22"/>
        </w:rPr>
        <w:t xml:space="preserve"> 不同国家电网情景； </w:t>
      </w:r>
    </w:p>
    <w:p>
      <w:pPr>
        <w:numPr>
          <w:numId w:val="228"/>
        </w:numPr>
        <w:spacing w:before="120" w:after="120" w:line="288" w:lineRule="auto"/>
        <w:ind w:left="0"/>
        <w:jc w:val="left"/>
      </w:pPr>
      <w:r>
        <w:rPr>
          <w:rFonts w:eastAsia="等线" w:ascii="Arial" w:cs="Arial" w:hAnsi="Arial"/>
          <w:sz w:val="22"/>
        </w:rPr>
        <w:t xml:space="preserve"> 生命周期里程； </w:t>
      </w:r>
    </w:p>
    <w:p>
      <w:pPr>
        <w:numPr>
          <w:numId w:val="229"/>
        </w:numPr>
        <w:spacing w:before="120" w:after="120" w:line="288" w:lineRule="auto"/>
        <w:ind w:left="0"/>
        <w:jc w:val="left"/>
      </w:pPr>
      <w:r>
        <w:rPr>
          <w:rFonts w:eastAsia="等线" w:ascii="Arial" w:cs="Arial" w:hAnsi="Arial"/>
          <w:sz w:val="22"/>
        </w:rPr>
        <w:t xml:space="preserve"> ICE/PHEV/BEV 对比； </w:t>
      </w:r>
    </w:p>
    <w:p>
      <w:pPr>
        <w:numPr>
          <w:numId w:val="230"/>
        </w:numPr>
        <w:spacing w:before="120" w:after="120" w:line="288" w:lineRule="auto"/>
        <w:ind w:left="0"/>
        <w:jc w:val="left"/>
      </w:pPr>
      <w:r>
        <w:rPr>
          <w:rFonts w:eastAsia="等线" w:ascii="Arial" w:cs="Arial" w:hAnsi="Arial"/>
          <w:sz w:val="22"/>
        </w:rPr>
        <w:t xml:space="preserve"> 减排情景模拟。 </w:t>
      </w:r>
    </w:p>
    <w:p>
      <w:pPr>
        <w:spacing w:before="120" w:after="120" w:line="288" w:lineRule="auto"/>
        <w:ind w:left="0"/>
        <w:jc w:val="left"/>
      </w:pPr>
      <w:r>
        <w:rPr>
          <w:rFonts w:eastAsia="等线" w:ascii="Arial" w:cs="Arial" w:hAnsi="Arial"/>
          <w:sz w:val="22"/>
        </w:rPr>
        <w:t>这部分是 Magna 的独特增量，Apple upstream 基本复用不到。</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9" w:id="99"/>
      <w:r>
        <w:rPr>
          <w:rFonts w:eastAsia="等线" w:ascii="Arial" w:cs="Arial" w:hAnsi="Arial"/>
          <w:b w:val="true"/>
          <w:sz w:val="30"/>
        </w:rPr>
        <w:t>Phase 4：Apple 供应链适配包</w:t>
      </w:r>
      <w:bookmarkEnd w:id="99"/>
    </w:p>
    <w:p>
      <w:pPr>
        <w:spacing w:before="120" w:after="120" w:line="288" w:lineRule="auto"/>
        <w:ind w:left="0"/>
        <w:jc w:val="left"/>
      </w:pPr>
      <w:r>
        <w:rPr>
          <w:rFonts w:eastAsia="等线" w:ascii="Arial" w:cs="Arial" w:hAnsi="Arial"/>
          <w:sz w:val="22"/>
        </w:rPr>
        <w:t>最后加：</w:t>
      </w:r>
    </w:p>
    <w:p>
      <w:pPr>
        <w:numPr>
          <w:numId w:val="231"/>
        </w:numPr>
        <w:spacing w:before="120" w:after="120" w:line="288" w:lineRule="auto"/>
        <w:ind w:left="0"/>
        <w:jc w:val="left"/>
      </w:pPr>
      <w:r>
        <w:rPr>
          <w:rFonts w:eastAsia="等线" w:ascii="Arial" w:cs="Arial" w:hAnsi="Arial"/>
          <w:sz w:val="22"/>
        </w:rPr>
        <w:t xml:space="preserve"> Apple FY 周期； </w:t>
      </w:r>
    </w:p>
    <w:p>
      <w:pPr>
        <w:numPr>
          <w:numId w:val="232"/>
        </w:numPr>
        <w:spacing w:before="120" w:after="120" w:line="288" w:lineRule="auto"/>
        <w:ind w:left="0"/>
        <w:jc w:val="left"/>
      </w:pPr>
      <w:r>
        <w:rPr>
          <w:rFonts w:eastAsia="等线" w:ascii="Arial" w:cs="Arial" w:hAnsi="Arial"/>
          <w:sz w:val="22"/>
        </w:rPr>
        <w:t xml:space="preserve"> Output 1 / Output 2； </w:t>
      </w:r>
    </w:p>
    <w:p>
      <w:pPr>
        <w:numPr>
          <w:numId w:val="233"/>
        </w:numPr>
        <w:spacing w:before="120" w:after="120" w:line="288" w:lineRule="auto"/>
        <w:ind w:left="0"/>
        <w:jc w:val="left"/>
      </w:pPr>
      <w:r>
        <w:rPr>
          <w:rFonts w:eastAsia="等线" w:ascii="Arial" w:cs="Arial" w:hAnsi="Arial"/>
          <w:sz w:val="22"/>
        </w:rPr>
        <w:t xml:space="preserve"> Apple 模板导入导出； </w:t>
      </w:r>
    </w:p>
    <w:p>
      <w:pPr>
        <w:numPr>
          <w:numId w:val="234"/>
        </w:numPr>
        <w:spacing w:before="120" w:after="120" w:line="288" w:lineRule="auto"/>
        <w:ind w:left="0"/>
        <w:jc w:val="left"/>
      </w:pPr>
      <w:r>
        <w:rPr>
          <w:rFonts w:eastAsia="等线" w:ascii="Arial" w:cs="Arial" w:hAnsi="Arial"/>
          <w:sz w:val="22"/>
        </w:rPr>
        <w:t xml:space="preserve"> Apple-approved allocation methods； </w:t>
      </w:r>
    </w:p>
    <w:p>
      <w:pPr>
        <w:numPr>
          <w:numId w:val="235"/>
        </w:numPr>
        <w:spacing w:before="120" w:after="120" w:line="288" w:lineRule="auto"/>
        <w:ind w:left="0"/>
        <w:jc w:val="left"/>
      </w:pPr>
      <w:r>
        <w:rPr>
          <w:rFonts w:eastAsia="等线" w:ascii="Arial" w:cs="Arial" w:hAnsi="Arial"/>
          <w:sz w:val="22"/>
        </w:rPr>
        <w:t xml:space="preserve"> APN / 功能单位管理； </w:t>
      </w:r>
    </w:p>
    <w:p>
      <w:pPr>
        <w:numPr>
          <w:numId w:val="236"/>
        </w:numPr>
        <w:spacing w:before="120" w:after="120" w:line="288" w:lineRule="auto"/>
        <w:ind w:left="0"/>
        <w:jc w:val="left"/>
      </w:pPr>
      <w:r>
        <w:rPr>
          <w:rFonts w:eastAsia="等线" w:ascii="Arial" w:cs="Arial" w:hAnsi="Arial"/>
          <w:sz w:val="22"/>
        </w:rPr>
        <w:t xml:space="preserve"> 第三方 assurance letter 管理； </w:t>
      </w:r>
    </w:p>
    <w:p>
      <w:pPr>
        <w:numPr>
          <w:numId w:val="237"/>
        </w:numPr>
        <w:spacing w:before="120" w:after="120" w:line="288" w:lineRule="auto"/>
        <w:ind w:left="0"/>
        <w:jc w:val="left"/>
      </w:pPr>
      <w:r>
        <w:rPr>
          <w:rFonts w:eastAsia="等线" w:ascii="Arial" w:cs="Arial" w:hAnsi="Arial"/>
          <w:sz w:val="22"/>
        </w:rPr>
        <w:t xml:space="preserve"> Apple 数据质量检查。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0" w:id="100"/>
      <w:r>
        <w:rPr>
          <w:rFonts w:eastAsia="等线" w:ascii="Arial" w:cs="Arial" w:hAnsi="Arial"/>
          <w:color w:val="3370ff"/>
          <w:sz w:val="32"/>
        </w:rPr>
        <w:t xml:space="preserve">13. </w:t>
      </w:r>
      <w:r>
        <w:rPr>
          <w:rFonts w:eastAsia="等线" w:ascii="Arial" w:cs="Arial" w:hAnsi="Arial"/>
          <w:b w:val="true"/>
          <w:sz w:val="32"/>
        </w:rPr>
        <w:t>最终架构建议</w:t>
      </w:r>
      <w:bookmarkEnd w:id="100"/>
    </w:p>
    <w:p>
      <w:pPr>
        <w:spacing w:before="120" w:after="120" w:line="288" w:lineRule="auto"/>
        <w:ind w:left="0"/>
        <w:jc w:val="left"/>
      </w:pPr>
      <w:r>
        <w:rPr>
          <w:rFonts w:eastAsia="等线" w:ascii="Arial" w:cs="Arial" w:hAnsi="Arial"/>
          <w:sz w:val="22"/>
        </w:rPr>
        <w:t>你可以把平台拆成三层：</w:t>
      </w:r>
    </w:p>
    <w:p>
      <w:pPr>
        <w:pStyle w:val="3"/>
        <w:spacing w:before="300" w:after="120" w:line="288" w:lineRule="auto"/>
        <w:ind w:left="0"/>
        <w:jc w:val="left"/>
        <w:outlineLvl w:val="2"/>
      </w:pPr>
      <w:bookmarkStart w:name="heading_101" w:id="101"/>
      <w:r>
        <w:rPr>
          <w:rFonts w:eastAsia="等线" w:ascii="Arial" w:cs="Arial" w:hAnsi="Arial"/>
          <w:b w:val="true"/>
          <w:sz w:val="30"/>
        </w:rPr>
        <w:t>第一层：通用碳核算底座</w:t>
      </w:r>
      <w:bookmarkEnd w:id="101"/>
    </w:p>
    <w:p>
      <w:pPr>
        <w:spacing w:before="120" w:after="120" w:line="288" w:lineRule="auto"/>
        <w:ind w:left="0"/>
        <w:jc w:val="left"/>
      </w:pPr>
      <w:r>
        <w:rPr>
          <w:rFonts w:eastAsia="等线" w:ascii="Arial" w:cs="Arial" w:hAnsi="Arial"/>
          <w:sz w:val="22"/>
        </w:rPr>
        <w:t>所有行业共享：</w:t>
      </w:r>
    </w:p>
    <w:p>
      <w:pPr>
        <w:numPr>
          <w:numId w:val="238"/>
        </w:numPr>
        <w:spacing w:before="120" w:after="120" w:line="288" w:lineRule="auto"/>
        <w:ind w:left="0"/>
        <w:jc w:val="left"/>
      </w:pPr>
      <w:r>
        <w:rPr>
          <w:rFonts w:eastAsia="等线" w:ascii="Arial" w:cs="Arial" w:hAnsi="Arial"/>
          <w:sz w:val="22"/>
        </w:rPr>
        <w:t xml:space="preserve"> 组织边界； </w:t>
      </w:r>
    </w:p>
    <w:p>
      <w:pPr>
        <w:numPr>
          <w:numId w:val="239"/>
        </w:numPr>
        <w:spacing w:before="120" w:after="120" w:line="288" w:lineRule="auto"/>
        <w:ind w:left="0"/>
        <w:jc w:val="left"/>
      </w:pPr>
      <w:r>
        <w:rPr>
          <w:rFonts w:eastAsia="等线" w:ascii="Arial" w:cs="Arial" w:hAnsi="Arial"/>
          <w:sz w:val="22"/>
        </w:rPr>
        <w:t xml:space="preserve"> 工厂/设施； </w:t>
      </w:r>
    </w:p>
    <w:p>
      <w:pPr>
        <w:numPr>
          <w:numId w:val="240"/>
        </w:numPr>
        <w:spacing w:before="120" w:after="120" w:line="288" w:lineRule="auto"/>
        <w:ind w:left="0"/>
        <w:jc w:val="left"/>
      </w:pPr>
      <w:r>
        <w:rPr>
          <w:rFonts w:eastAsia="等线" w:ascii="Arial" w:cs="Arial" w:hAnsi="Arial"/>
          <w:sz w:val="22"/>
        </w:rPr>
        <w:t xml:space="preserve"> 活动数据； </w:t>
      </w:r>
    </w:p>
    <w:p>
      <w:pPr>
        <w:numPr>
          <w:numId w:val="241"/>
        </w:numPr>
        <w:spacing w:before="120" w:after="120" w:line="288" w:lineRule="auto"/>
        <w:ind w:left="0"/>
        <w:jc w:val="left"/>
      </w:pPr>
      <w:r>
        <w:rPr>
          <w:rFonts w:eastAsia="等线" w:ascii="Arial" w:cs="Arial" w:hAnsi="Arial"/>
          <w:sz w:val="22"/>
        </w:rPr>
        <w:t xml:space="preserve"> 排放因子； </w:t>
      </w:r>
    </w:p>
    <w:p>
      <w:pPr>
        <w:numPr>
          <w:numId w:val="242"/>
        </w:numPr>
        <w:spacing w:before="120" w:after="120" w:line="288" w:lineRule="auto"/>
        <w:ind w:left="0"/>
        <w:jc w:val="left"/>
      </w:pPr>
      <w:r>
        <w:rPr>
          <w:rFonts w:eastAsia="等线" w:ascii="Arial" w:cs="Arial" w:hAnsi="Arial"/>
          <w:sz w:val="22"/>
        </w:rPr>
        <w:t xml:space="preserve"> Scope/Category； </w:t>
      </w:r>
    </w:p>
    <w:p>
      <w:pPr>
        <w:numPr>
          <w:numId w:val="243"/>
        </w:numPr>
        <w:spacing w:before="120" w:after="120" w:line="288" w:lineRule="auto"/>
        <w:ind w:left="0"/>
        <w:jc w:val="left"/>
      </w:pPr>
      <w:r>
        <w:rPr>
          <w:rFonts w:eastAsia="等线" w:ascii="Arial" w:cs="Arial" w:hAnsi="Arial"/>
          <w:sz w:val="22"/>
        </w:rPr>
        <w:t xml:space="preserve"> 分摊规则； </w:t>
      </w:r>
    </w:p>
    <w:p>
      <w:pPr>
        <w:numPr>
          <w:numId w:val="244"/>
        </w:numPr>
        <w:spacing w:before="120" w:after="120" w:line="288" w:lineRule="auto"/>
        <w:ind w:left="0"/>
        <w:jc w:val="left"/>
      </w:pPr>
      <w:r>
        <w:rPr>
          <w:rFonts w:eastAsia="等线" w:ascii="Arial" w:cs="Arial" w:hAnsi="Arial"/>
          <w:sz w:val="22"/>
        </w:rPr>
        <w:t xml:space="preserve"> 产品/BOM； </w:t>
      </w:r>
    </w:p>
    <w:p>
      <w:pPr>
        <w:numPr>
          <w:numId w:val="245"/>
        </w:numPr>
        <w:spacing w:before="120" w:after="120" w:line="288" w:lineRule="auto"/>
        <w:ind w:left="0"/>
        <w:jc w:val="left"/>
      </w:pPr>
      <w:r>
        <w:rPr>
          <w:rFonts w:eastAsia="等线" w:ascii="Arial" w:cs="Arial" w:hAnsi="Arial"/>
          <w:sz w:val="22"/>
        </w:rPr>
        <w:t xml:space="preserve"> 物流； </w:t>
      </w:r>
    </w:p>
    <w:p>
      <w:pPr>
        <w:numPr>
          <w:numId w:val="246"/>
        </w:numPr>
        <w:spacing w:before="120" w:after="120" w:line="288" w:lineRule="auto"/>
        <w:ind w:left="0"/>
        <w:jc w:val="left"/>
      </w:pPr>
      <w:r>
        <w:rPr>
          <w:rFonts w:eastAsia="等线" w:ascii="Arial" w:cs="Arial" w:hAnsi="Arial"/>
          <w:sz w:val="22"/>
        </w:rPr>
        <w:t xml:space="preserve"> 废弃物； </w:t>
      </w:r>
    </w:p>
    <w:p>
      <w:pPr>
        <w:numPr>
          <w:numId w:val="247"/>
        </w:numPr>
        <w:spacing w:before="120" w:after="120" w:line="288" w:lineRule="auto"/>
        <w:ind w:left="0"/>
        <w:jc w:val="left"/>
      </w:pPr>
      <w:r>
        <w:rPr>
          <w:rFonts w:eastAsia="等线" w:ascii="Arial" w:cs="Arial" w:hAnsi="Arial"/>
          <w:sz w:val="22"/>
        </w:rPr>
        <w:t xml:space="preserve"> 凭证； </w:t>
      </w:r>
    </w:p>
    <w:p>
      <w:pPr>
        <w:numPr>
          <w:numId w:val="248"/>
        </w:numPr>
        <w:spacing w:before="120" w:after="120" w:line="288" w:lineRule="auto"/>
        <w:ind w:left="0"/>
        <w:jc w:val="left"/>
      </w:pPr>
      <w:r>
        <w:rPr>
          <w:rFonts w:eastAsia="等线" w:ascii="Arial" w:cs="Arial" w:hAnsi="Arial"/>
          <w:sz w:val="22"/>
        </w:rPr>
        <w:t xml:space="preserve"> 数据质量； </w:t>
      </w:r>
    </w:p>
    <w:p>
      <w:pPr>
        <w:numPr>
          <w:numId w:val="249"/>
        </w:numPr>
        <w:spacing w:before="120" w:after="120" w:line="288" w:lineRule="auto"/>
        <w:ind w:left="0"/>
        <w:jc w:val="left"/>
      </w:pPr>
      <w:r>
        <w:rPr>
          <w:rFonts w:eastAsia="等线" w:ascii="Arial" w:cs="Arial" w:hAnsi="Arial"/>
          <w:sz w:val="22"/>
        </w:rPr>
        <w:t xml:space="preserve"> 审计追踪。 </w:t>
      </w:r>
    </w:p>
    <w:p>
      <w:pPr>
        <w:pStyle w:val="3"/>
        <w:spacing w:before="300" w:after="120" w:line="288" w:lineRule="auto"/>
        <w:ind w:left="0"/>
        <w:jc w:val="left"/>
        <w:outlineLvl w:val="2"/>
      </w:pPr>
      <w:bookmarkStart w:name="heading_102" w:id="102"/>
      <w:r>
        <w:rPr>
          <w:rFonts w:eastAsia="等线" w:ascii="Arial" w:cs="Arial" w:hAnsi="Arial"/>
          <w:b w:val="true"/>
          <w:sz w:val="30"/>
        </w:rPr>
        <w:t>第二层：行业模型层</w:t>
      </w:r>
      <w:bookmarkEnd w:id="102"/>
    </w:p>
    <w:p>
      <w:pPr>
        <w:spacing w:before="120" w:after="120" w:line="288" w:lineRule="auto"/>
        <w:ind w:left="0"/>
        <w:jc w:val="left"/>
      </w:pPr>
      <w:r>
        <w:rPr>
          <w:rFonts w:eastAsia="等线" w:ascii="Arial" w:cs="Arial" w:hAnsi="Arial"/>
          <w:sz w:val="22"/>
        </w:rPr>
        <w:t>汽车行业加：</w:t>
      </w:r>
    </w:p>
    <w:p>
      <w:pPr>
        <w:numPr>
          <w:numId w:val="250"/>
        </w:numPr>
        <w:spacing w:before="120" w:after="120" w:line="288" w:lineRule="auto"/>
        <w:ind w:left="0"/>
        <w:jc w:val="left"/>
      </w:pPr>
      <w:r>
        <w:rPr>
          <w:rFonts w:eastAsia="等线" w:ascii="Arial" w:cs="Arial" w:hAnsi="Arial"/>
          <w:sz w:val="22"/>
        </w:rPr>
        <w:t xml:space="preserve"> 车型； </w:t>
      </w:r>
    </w:p>
    <w:p>
      <w:pPr>
        <w:numPr>
          <w:numId w:val="251"/>
        </w:numPr>
        <w:spacing w:before="120" w:after="120" w:line="288" w:lineRule="auto"/>
        <w:ind w:left="0"/>
        <w:jc w:val="left"/>
      </w:pPr>
      <w:r>
        <w:rPr>
          <w:rFonts w:eastAsia="等线" w:ascii="Arial" w:cs="Arial" w:hAnsi="Arial"/>
          <w:sz w:val="22"/>
        </w:rPr>
        <w:t xml:space="preserve"> 车辆配置； </w:t>
      </w:r>
    </w:p>
    <w:p>
      <w:pPr>
        <w:numPr>
          <w:numId w:val="252"/>
        </w:numPr>
        <w:spacing w:before="120" w:after="120" w:line="288" w:lineRule="auto"/>
        <w:ind w:left="0"/>
        <w:jc w:val="left"/>
      </w:pPr>
      <w:r>
        <w:rPr>
          <w:rFonts w:eastAsia="等线" w:ascii="Arial" w:cs="Arial" w:hAnsi="Arial"/>
          <w:sz w:val="22"/>
        </w:rPr>
        <w:t xml:space="preserve"> 工艺路线； </w:t>
      </w:r>
    </w:p>
    <w:p>
      <w:pPr>
        <w:numPr>
          <w:numId w:val="253"/>
        </w:numPr>
        <w:spacing w:before="120" w:after="120" w:line="288" w:lineRule="auto"/>
        <w:ind w:left="0"/>
        <w:jc w:val="left"/>
      </w:pPr>
      <w:r>
        <w:rPr>
          <w:rFonts w:eastAsia="等线" w:ascii="Arial" w:cs="Arial" w:hAnsi="Arial"/>
          <w:sz w:val="22"/>
        </w:rPr>
        <w:t xml:space="preserve"> 产线； </w:t>
      </w:r>
    </w:p>
    <w:p>
      <w:pPr>
        <w:numPr>
          <w:numId w:val="254"/>
        </w:numPr>
        <w:spacing w:before="120" w:after="120" w:line="288" w:lineRule="auto"/>
        <w:ind w:left="0"/>
        <w:jc w:val="left"/>
      </w:pPr>
      <w:r>
        <w:rPr>
          <w:rFonts w:eastAsia="等线" w:ascii="Arial" w:cs="Arial" w:hAnsi="Arial"/>
          <w:sz w:val="22"/>
        </w:rPr>
        <w:t xml:space="preserve"> 良率； </w:t>
      </w:r>
    </w:p>
    <w:p>
      <w:pPr>
        <w:numPr>
          <w:numId w:val="255"/>
        </w:numPr>
        <w:spacing w:before="120" w:after="120" w:line="288" w:lineRule="auto"/>
        <w:ind w:left="0"/>
        <w:jc w:val="left"/>
      </w:pPr>
      <w:r>
        <w:rPr>
          <w:rFonts w:eastAsia="等线" w:ascii="Arial" w:cs="Arial" w:hAnsi="Arial"/>
          <w:sz w:val="22"/>
        </w:rPr>
        <w:t xml:space="preserve"> 返修； </w:t>
      </w:r>
    </w:p>
    <w:p>
      <w:pPr>
        <w:numPr>
          <w:numId w:val="256"/>
        </w:numPr>
        <w:spacing w:before="120" w:after="120" w:line="288" w:lineRule="auto"/>
        <w:ind w:left="0"/>
        <w:jc w:val="left"/>
      </w:pPr>
      <w:r>
        <w:rPr>
          <w:rFonts w:eastAsia="等线" w:ascii="Arial" w:cs="Arial" w:hAnsi="Arial"/>
          <w:sz w:val="22"/>
        </w:rPr>
        <w:t xml:space="preserve"> 使用阶段； </w:t>
      </w:r>
    </w:p>
    <w:p>
      <w:pPr>
        <w:numPr>
          <w:numId w:val="257"/>
        </w:numPr>
        <w:spacing w:before="120" w:after="120" w:line="288" w:lineRule="auto"/>
        <w:ind w:left="0"/>
        <w:jc w:val="left"/>
      </w:pPr>
      <w:r>
        <w:rPr>
          <w:rFonts w:eastAsia="等线" w:ascii="Arial" w:cs="Arial" w:hAnsi="Arial"/>
          <w:sz w:val="22"/>
        </w:rPr>
        <w:t xml:space="preserve"> 报废回收。 </w:t>
      </w:r>
    </w:p>
    <w:p>
      <w:pPr>
        <w:spacing w:before="120" w:after="120" w:line="288" w:lineRule="auto"/>
        <w:ind w:left="0"/>
        <w:jc w:val="left"/>
      </w:pPr>
      <w:r>
        <w:rPr>
          <w:rFonts w:eastAsia="等线" w:ascii="Arial" w:cs="Arial" w:hAnsi="Arial"/>
          <w:sz w:val="22"/>
        </w:rPr>
        <w:t>电子/Apple 供应链加：</w:t>
      </w:r>
    </w:p>
    <w:p>
      <w:pPr>
        <w:numPr>
          <w:numId w:val="258"/>
        </w:numPr>
        <w:spacing w:before="120" w:after="120" w:line="288" w:lineRule="auto"/>
        <w:ind w:left="0"/>
        <w:jc w:val="left"/>
      </w:pPr>
      <w:r>
        <w:rPr>
          <w:rFonts w:eastAsia="等线" w:ascii="Arial" w:cs="Arial" w:hAnsi="Arial"/>
          <w:sz w:val="22"/>
        </w:rPr>
        <w:t xml:space="preserve"> APN； </w:t>
      </w:r>
    </w:p>
    <w:p>
      <w:pPr>
        <w:numPr>
          <w:numId w:val="259"/>
        </w:numPr>
        <w:spacing w:before="120" w:after="120" w:line="288" w:lineRule="auto"/>
        <w:ind w:left="0"/>
        <w:jc w:val="left"/>
      </w:pPr>
      <w:r>
        <w:rPr>
          <w:rFonts w:eastAsia="等线" w:ascii="Arial" w:cs="Arial" w:hAnsi="Arial"/>
          <w:sz w:val="22"/>
        </w:rPr>
        <w:t xml:space="preserve"> 功能单位； </w:t>
      </w:r>
    </w:p>
    <w:p>
      <w:pPr>
        <w:numPr>
          <w:numId w:val="260"/>
        </w:numPr>
        <w:spacing w:before="120" w:after="120" w:line="288" w:lineRule="auto"/>
        <w:ind w:left="0"/>
        <w:jc w:val="left"/>
      </w:pPr>
      <w:r>
        <w:rPr>
          <w:rFonts w:eastAsia="等线" w:ascii="Arial" w:cs="Arial" w:hAnsi="Arial"/>
          <w:sz w:val="22"/>
        </w:rPr>
        <w:t xml:space="preserve"> Apple FY； </w:t>
      </w:r>
    </w:p>
    <w:p>
      <w:pPr>
        <w:numPr>
          <w:numId w:val="261"/>
        </w:numPr>
        <w:spacing w:before="120" w:after="120" w:line="288" w:lineRule="auto"/>
        <w:ind w:left="0"/>
        <w:jc w:val="left"/>
      </w:pPr>
      <w:r>
        <w:rPr>
          <w:rFonts w:eastAsia="等线" w:ascii="Arial" w:cs="Arial" w:hAnsi="Arial"/>
          <w:sz w:val="22"/>
        </w:rPr>
        <w:t xml:space="preserve"> Apple Output 1/2； </w:t>
      </w:r>
    </w:p>
    <w:p>
      <w:pPr>
        <w:numPr>
          <w:numId w:val="262"/>
        </w:numPr>
        <w:spacing w:before="120" w:after="120" w:line="288" w:lineRule="auto"/>
        <w:ind w:left="0"/>
        <w:jc w:val="left"/>
      </w:pPr>
      <w:r>
        <w:rPr>
          <w:rFonts w:eastAsia="等线" w:ascii="Arial" w:cs="Arial" w:hAnsi="Arial"/>
          <w:sz w:val="22"/>
        </w:rPr>
        <w:t xml:space="preserve"> Apple 模板。 </w:t>
      </w:r>
    </w:p>
    <w:p>
      <w:pPr>
        <w:pStyle w:val="3"/>
        <w:spacing w:before="300" w:after="120" w:line="288" w:lineRule="auto"/>
        <w:ind w:left="0"/>
        <w:jc w:val="left"/>
        <w:outlineLvl w:val="2"/>
      </w:pPr>
      <w:bookmarkStart w:name="heading_103" w:id="103"/>
      <w:r>
        <w:rPr>
          <w:rFonts w:eastAsia="等线" w:ascii="Arial" w:cs="Arial" w:hAnsi="Arial"/>
          <w:b w:val="true"/>
          <w:sz w:val="30"/>
        </w:rPr>
        <w:t>第三层：客户报告层</w:t>
      </w:r>
      <w:bookmarkEnd w:id="103"/>
    </w:p>
    <w:p>
      <w:pPr>
        <w:spacing w:before="120" w:after="120" w:line="288" w:lineRule="auto"/>
        <w:ind w:left="0"/>
        <w:jc w:val="left"/>
      </w:pPr>
      <w:r>
        <w:rPr>
          <w:rFonts w:eastAsia="等线" w:ascii="Arial" w:cs="Arial" w:hAnsi="Arial"/>
          <w:sz w:val="22"/>
        </w:rPr>
        <w:t>不同客户不同模板：</w:t>
      </w:r>
    </w:p>
    <w:p>
      <w:pPr>
        <w:numPr>
          <w:numId w:val="263"/>
        </w:numPr>
        <w:spacing w:before="120" w:after="120" w:line="288" w:lineRule="auto"/>
        <w:ind w:left="0"/>
        <w:jc w:val="left"/>
      </w:pPr>
      <w:r>
        <w:rPr>
          <w:rFonts w:eastAsia="等线" w:ascii="Arial" w:cs="Arial" w:hAnsi="Arial"/>
          <w:sz w:val="22"/>
        </w:rPr>
        <w:t xml:space="preserve"> Magna 内部管理报表； </w:t>
      </w:r>
    </w:p>
    <w:p>
      <w:pPr>
        <w:numPr>
          <w:numId w:val="264"/>
        </w:numPr>
        <w:spacing w:before="120" w:after="120" w:line="288" w:lineRule="auto"/>
        <w:ind w:left="0"/>
        <w:jc w:val="left"/>
      </w:pPr>
      <w:r>
        <w:rPr>
          <w:rFonts w:eastAsia="等线" w:ascii="Arial" w:cs="Arial" w:hAnsi="Arial"/>
          <w:sz w:val="22"/>
        </w:rPr>
        <w:t xml:space="preserve"> OEM 项目报表； </w:t>
      </w:r>
    </w:p>
    <w:p>
      <w:pPr>
        <w:numPr>
          <w:numId w:val="265"/>
        </w:numPr>
        <w:spacing w:before="120" w:after="120" w:line="288" w:lineRule="auto"/>
        <w:ind w:left="0"/>
        <w:jc w:val="left"/>
      </w:pPr>
      <w:r>
        <w:rPr>
          <w:rFonts w:eastAsia="等线" w:ascii="Arial" w:cs="Arial" w:hAnsi="Arial"/>
          <w:sz w:val="22"/>
        </w:rPr>
        <w:t xml:space="preserve"> 完整车辆 LCA 报告； </w:t>
      </w:r>
    </w:p>
    <w:p>
      <w:pPr>
        <w:numPr>
          <w:numId w:val="266"/>
        </w:numPr>
        <w:spacing w:before="120" w:after="120" w:line="288" w:lineRule="auto"/>
        <w:ind w:left="0"/>
        <w:jc w:val="left"/>
      </w:pPr>
      <w:r>
        <w:rPr>
          <w:rFonts w:eastAsia="等线" w:ascii="Arial" w:cs="Arial" w:hAnsi="Arial"/>
          <w:sz w:val="22"/>
        </w:rPr>
        <w:t xml:space="preserve"> Apple upstream survey； </w:t>
      </w:r>
    </w:p>
    <w:p>
      <w:pPr>
        <w:numPr>
          <w:numId w:val="267"/>
        </w:numPr>
        <w:spacing w:before="120" w:after="120" w:line="288" w:lineRule="auto"/>
        <w:ind w:left="0"/>
        <w:jc w:val="left"/>
      </w:pPr>
      <w:r>
        <w:rPr>
          <w:rFonts w:eastAsia="等线" w:ascii="Arial" w:cs="Arial" w:hAnsi="Arial"/>
          <w:sz w:val="22"/>
        </w:rPr>
        <w:t xml:space="preserve"> 第三方核查底稿； </w:t>
      </w:r>
    </w:p>
    <w:p>
      <w:pPr>
        <w:numPr>
          <w:numId w:val="268"/>
        </w:numPr>
        <w:spacing w:before="120" w:after="120" w:line="288" w:lineRule="auto"/>
        <w:ind w:left="0"/>
        <w:jc w:val="left"/>
      </w:pPr>
      <w:r>
        <w:rPr>
          <w:rFonts w:eastAsia="等线" w:ascii="Arial" w:cs="Arial" w:hAnsi="Arial"/>
          <w:sz w:val="22"/>
        </w:rPr>
        <w:t xml:space="preserve"> ESG 披露报表。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4" w:id="104"/>
      <w:r>
        <w:rPr>
          <w:rFonts w:eastAsia="等线" w:ascii="Arial" w:cs="Arial" w:hAnsi="Arial"/>
          <w:color w:val="3370ff"/>
          <w:sz w:val="32"/>
        </w:rPr>
        <w:t xml:space="preserve">14. </w:t>
      </w:r>
      <w:r>
        <w:rPr>
          <w:rFonts w:eastAsia="等线" w:ascii="Arial" w:cs="Arial" w:hAnsi="Arial"/>
          <w:b w:val="true"/>
          <w:sz w:val="32"/>
        </w:rPr>
        <w:t>定义产品战略</w:t>
      </w:r>
      <w:bookmarkEnd w:id="104"/>
    </w:p>
    <w:p>
      <w:pPr>
        <w:spacing w:before="120" w:after="120" w:line="288" w:lineRule="auto"/>
        <w:ind w:left="0"/>
        <w:jc w:val="left"/>
      </w:pPr>
      <w:r>
        <w:rPr>
          <w:rFonts w:eastAsia="等线" w:ascii="Arial" w:cs="Arial" w:hAnsi="Arial"/>
          <w:sz w:val="22"/>
        </w:rPr>
        <w:t>不要说：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我们先做 Magna 平台，后面再改成 Apple 平台。</w:t>
            </w:r>
          </w:p>
        </w:tc>
      </w:tr>
    </w:tbl>
    <w:p>
      <w:pPr>
        <w:spacing w:before="120" w:after="120" w:line="288" w:lineRule="auto"/>
        <w:ind w:left="0"/>
        <w:jc w:val="left"/>
      </w:pPr>
      <w:r>
        <w:rPr>
          <w:rFonts w:eastAsia="等线" w:ascii="Arial" w:cs="Arial" w:hAnsi="Arial"/>
          <w:sz w:val="22"/>
        </w:rPr>
        <w:t>而应该说：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我们先做一个“制造业产品级能碳核算底座”，以 Magna 整车组装作为最复杂场景打磨底层能力；之后通过边界配置和报表插件，适配 Apple 上游供应链碳核查。</w:t>
            </w:r>
          </w:p>
        </w:tc>
      </w:tr>
    </w:tbl>
    <w:p>
      <w:pPr>
        <w:spacing w:before="120" w:after="120" w:line="288" w:lineRule="auto"/>
        <w:ind w:left="0"/>
        <w:jc w:val="left"/>
      </w:pPr>
      <w:r>
        <w:rPr>
          <w:rFonts w:eastAsia="等线" w:ascii="Arial" w:cs="Arial" w:hAnsi="Arial"/>
          <w:sz w:val="22"/>
        </w:rPr>
        <w:t>这样你的产品能力会更稳。</w:t>
      </w:r>
    </w:p>
    <w:p>
      <w:pPr>
        <w:spacing w:before="120" w:after="120" w:line="288" w:lineRule="auto"/>
        <w:ind w:left="0"/>
        <w:jc w:val="left"/>
      </w:pPr>
      <w:r>
        <w:rPr>
          <w:rFonts w:eastAsia="等线" w:ascii="Arial" w:cs="Arial" w:hAnsi="Arial"/>
          <w:sz w:val="22"/>
        </w:rPr>
        <w:t>最核心的一句话：</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Magna 是大闭环：组织碳 + 制造端 PCF + 整车 LCA。Apple 前端供应链是其中的制造端/上游分摊子集。</w:t>
            </w:r>
          </w:p>
        </w:tc>
      </w:tr>
    </w:tbl>
    <w:p>
      <w:pPr>
        <w:spacing w:before="120" w:after="120" w:line="288" w:lineRule="auto"/>
        <w:ind w:left="0"/>
        <w:jc w:val="left"/>
      </w:pPr>
      <w:r>
        <w:rPr>
          <w:rFonts w:eastAsia="等线" w:ascii="Arial" w:cs="Arial" w:hAnsi="Arial"/>
          <w:sz w:val="22"/>
        </w:rPr>
        <w:t>所以，先开发 Magna 是可行的，而且战略上更好；但一定要把“生命周期边界、Scope Category、分摊规则、产品单位、报表模板”做成配置化，否则后期复用会变成重新开发。</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05" w:id="105"/>
      <w:r>
        <w:rPr>
          <w:rFonts w:eastAsia="等线" w:ascii="Arial" w:cs="Arial" w:hAnsi="Arial"/>
          <w:b w:val="true"/>
          <w:sz w:val="36"/>
        </w:rPr>
        <w:t>十一、最终看板的数据分析</w:t>
      </w:r>
      <w:bookmarkEnd w:id="105"/>
    </w:p>
    <w:p>
      <w:pPr>
        <w:spacing w:before="120" w:after="120" w:line="288" w:lineRule="auto"/>
        <w:ind w:left="0"/>
        <w:jc w:val="left"/>
      </w:pPr>
      <w:r>
        <w:rPr>
          <w:rFonts w:eastAsia="等线" w:ascii="Arial" w:cs="Arial" w:hAnsi="Arial"/>
          <w:sz w:val="22"/>
        </w:rPr>
        <w:t>最终平台不能只展示：今年总排放多少 tCO₂e</w:t>
      </w:r>
    </w:p>
    <w:p>
      <w:pPr>
        <w:spacing w:before="120" w:after="120" w:line="288" w:lineRule="auto"/>
        <w:ind w:left="0"/>
        <w:jc w:val="left"/>
      </w:pPr>
      <w:r>
        <w:rPr>
          <w:rFonts w:eastAsia="等线" w:ascii="Arial" w:cs="Arial" w:hAnsi="Arial"/>
          <w:sz w:val="22"/>
        </w:rPr>
        <w:t>而是要展示：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哪条产线高、哪个工艺段高、哪种能源高、哪款车型高、哪个质量损失高、哪个改善项目最值得做。</w:t>
            </w:r>
          </w:p>
        </w:tc>
      </w:tr>
    </w:tbl>
    <w:p>
      <w:pPr>
        <w:pStyle w:val="2"/>
        <w:spacing w:before="320" w:after="120" w:line="288" w:lineRule="auto"/>
        <w:ind w:left="0"/>
        <w:jc w:val="left"/>
        <w:outlineLvl w:val="1"/>
      </w:pPr>
      <w:bookmarkStart w:name="heading_106" w:id="106"/>
      <w:r>
        <w:rPr>
          <w:rFonts w:eastAsia="等线" w:ascii="Arial" w:cs="Arial" w:hAnsi="Arial"/>
          <w:color w:val="3370ff"/>
          <w:sz w:val="32"/>
        </w:rPr>
        <w:t xml:space="preserve">1. </w:t>
      </w:r>
      <w:r>
        <w:rPr>
          <w:rFonts w:eastAsia="等线" w:ascii="Arial" w:cs="Arial" w:hAnsi="Arial"/>
          <w:b w:val="true"/>
          <w:sz w:val="32"/>
        </w:rPr>
        <w:t>先定义 最终看板的核心目标</w:t>
      </w:r>
      <w:bookmarkEnd w:id="106"/>
    </w:p>
    <w:p>
      <w:pPr>
        <w:spacing w:before="120" w:after="120" w:line="288" w:lineRule="auto"/>
        <w:ind w:left="0"/>
        <w:jc w:val="left"/>
      </w:pPr>
      <w:r>
        <w:rPr>
          <w:rFonts w:eastAsia="等线" w:ascii="Arial" w:cs="Arial" w:hAnsi="Arial"/>
          <w:sz w:val="22"/>
        </w:rPr>
        <w:t>我建议 Magna 这个平台最终围绕 5 个核心问题设计数据统计：</w:t>
      </w:r>
    </w:p>
    <w:p>
      <w:pPr>
        <w:spacing w:before="120" w:after="120" w:line="288" w:lineRule="auto"/>
        <w:ind w:left="0"/>
        <w:jc w:val="left"/>
      </w:pPr>
      <w:r>
        <w:rPr>
          <w:rFonts w:eastAsia="等线" w:ascii="Arial" w:cs="Arial" w:hAnsi="Arial"/>
          <w:b w:val="true"/>
          <w:sz w:val="22"/>
        </w:rPr>
        <w:t>问题一：整体排多少？</w:t>
      </w:r>
    </w:p>
    <w:p>
      <w:pPr>
        <w:spacing w:before="120" w:after="120" w:line="288" w:lineRule="auto"/>
        <w:ind w:left="0"/>
        <w:jc w:val="left"/>
      </w:pPr>
      <w:r>
        <w:rPr>
          <w:rFonts w:eastAsia="等线" w:ascii="Arial" w:cs="Arial" w:hAnsi="Arial"/>
          <w:sz w:val="22"/>
        </w:rPr>
        <w:t>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工厂、车间、产线、车型的总碳排是多少？</w:t>
            </w:r>
          </w:p>
        </w:tc>
      </w:tr>
    </w:tbl>
    <w:p>
      <w:pPr>
        <w:spacing w:before="120" w:after="120" w:line="288" w:lineRule="auto"/>
        <w:ind w:left="0"/>
        <w:jc w:val="left"/>
      </w:pPr>
      <w:r>
        <w:rPr>
          <w:rFonts w:eastAsia="等线" w:ascii="Arial" w:cs="Arial" w:hAnsi="Arial"/>
          <w:b w:val="true"/>
          <w:sz w:val="22"/>
        </w:rPr>
        <w:t>问题二：单车排多少？</w:t>
      </w:r>
    </w:p>
    <w:p>
      <w:pPr>
        <w:spacing w:before="120" w:after="120" w:line="288" w:lineRule="auto"/>
        <w:ind w:left="0"/>
        <w:jc w:val="left"/>
      </w:pPr>
      <w:r>
        <w:rPr>
          <w:rFonts w:eastAsia="等线" w:ascii="Arial" w:cs="Arial" w:hAnsi="Arial"/>
          <w:sz w:val="22"/>
        </w:rPr>
        <w:t>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每辆合格车的 PCF 是多少？不同车型、BEV/ICE、不同配置差多少？</w:t>
            </w:r>
          </w:p>
        </w:tc>
      </w:tr>
    </w:tbl>
    <w:p>
      <w:pPr>
        <w:spacing w:before="120" w:after="120" w:line="288" w:lineRule="auto"/>
        <w:ind w:left="0"/>
        <w:jc w:val="left"/>
      </w:pPr>
      <w:r>
        <w:rPr>
          <w:rFonts w:eastAsia="等线" w:ascii="Arial" w:cs="Arial" w:hAnsi="Arial"/>
          <w:b w:val="true"/>
          <w:sz w:val="22"/>
        </w:rPr>
        <w:t>问题三：哪里排得最多？</w:t>
      </w:r>
    </w:p>
    <w:p>
      <w:pPr>
        <w:spacing w:before="120" w:after="120" w:line="288" w:lineRule="auto"/>
        <w:ind w:left="0"/>
        <w:jc w:val="left"/>
      </w:pPr>
      <w:r>
        <w:rPr>
          <w:rFonts w:eastAsia="等线" w:ascii="Arial" w:cs="Arial" w:hAnsi="Arial"/>
          <w:sz w:val="22"/>
        </w:rPr>
        <w:t>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材料、电池、涂装、用电、天然气、物流、废弃物，哪个是热点？</w:t>
            </w:r>
          </w:p>
        </w:tc>
      </w:tr>
    </w:tbl>
    <w:p>
      <w:pPr>
        <w:spacing w:before="120" w:after="120" w:line="288" w:lineRule="auto"/>
        <w:ind w:left="0"/>
        <w:jc w:val="left"/>
      </w:pPr>
      <w:r>
        <w:rPr>
          <w:rFonts w:eastAsia="等线" w:ascii="Arial" w:cs="Arial" w:hAnsi="Arial"/>
          <w:b w:val="true"/>
          <w:sz w:val="22"/>
        </w:rPr>
        <w:t>问题四：哪里可以优化？</w:t>
      </w:r>
    </w:p>
    <w:p>
      <w:pPr>
        <w:spacing w:before="120" w:after="120" w:line="288" w:lineRule="auto"/>
        <w:ind w:left="0"/>
        <w:jc w:val="left"/>
      </w:pPr>
      <w:r>
        <w:rPr>
          <w:rFonts w:eastAsia="等线" w:ascii="Arial" w:cs="Arial" w:hAnsi="Arial"/>
          <w:sz w:val="22"/>
        </w:rPr>
        <w:t>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哪个工艺段能耗异常？哪条产线单位碳排高？返修报废造成多少额外碳？</w:t>
            </w:r>
          </w:p>
        </w:tc>
      </w:tr>
    </w:tbl>
    <w:p>
      <w:pPr>
        <w:spacing w:before="120" w:after="120" w:line="288" w:lineRule="auto"/>
        <w:ind w:left="0"/>
        <w:jc w:val="left"/>
      </w:pPr>
      <w:r>
        <w:rPr>
          <w:rFonts w:eastAsia="等线" w:ascii="Arial" w:cs="Arial" w:hAnsi="Arial"/>
          <w:b w:val="true"/>
          <w:sz w:val="22"/>
        </w:rPr>
        <w:t>问题五：优化后效果如何？</w:t>
      </w:r>
    </w:p>
    <w:p>
      <w:pPr>
        <w:spacing w:before="120" w:after="120" w:line="288" w:lineRule="auto"/>
        <w:ind w:left="0"/>
        <w:jc w:val="left"/>
      </w:pPr>
      <w:r>
        <w:rPr>
          <w:rFonts w:eastAsia="等线" w:ascii="Arial" w:cs="Arial" w:hAnsi="Arial"/>
          <w:sz w:val="22"/>
        </w:rPr>
        <w:t>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换绿电、提升良率、降低涂装天然气、改物流方式、使用低碳材料后，PCF 能下降多少？</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7" w:id="107"/>
      <w:r>
        <w:rPr>
          <w:rFonts w:eastAsia="等线" w:ascii="Arial" w:cs="Arial" w:hAnsi="Arial"/>
          <w:color w:val="3370ff"/>
          <w:sz w:val="32"/>
        </w:rPr>
        <w:t xml:space="preserve">2. </w:t>
      </w:r>
      <w:r>
        <w:rPr>
          <w:rFonts w:eastAsia="等线" w:ascii="Arial" w:cs="Arial" w:hAnsi="Arial"/>
          <w:b w:val="true"/>
          <w:sz w:val="32"/>
        </w:rPr>
        <w:t>最终数据统计维度应该有哪些？</w:t>
      </w:r>
      <w:bookmarkEnd w:id="107"/>
    </w:p>
    <w:p>
      <w:pPr>
        <w:spacing w:before="120" w:after="120" w:line="288" w:lineRule="auto"/>
        <w:ind w:left="0"/>
        <w:jc w:val="left"/>
      </w:pPr>
      <w:r>
        <w:rPr>
          <w:rFonts w:eastAsia="等线" w:ascii="Arial" w:cs="Arial" w:hAnsi="Arial"/>
          <w:sz w:val="22"/>
        </w:rPr>
        <w:t xml:space="preserve">我建议至少分成 </w:t>
      </w:r>
      <w:r>
        <w:rPr>
          <w:rFonts w:eastAsia="等线" w:ascii="Arial" w:cs="Arial" w:hAnsi="Arial"/>
          <w:b w:val="true"/>
          <w:sz w:val="22"/>
        </w:rPr>
        <w:t>10 大统计维度</w:t>
      </w:r>
      <w:r>
        <w:rPr>
          <w:rFonts w:eastAsia="等线" w:ascii="Arial" w:cs="Arial" w:hAnsi="Arial"/>
          <w:sz w:val="22"/>
        </w:rPr>
        <w: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维度一：组织/空间维度</w:t>
      </w:r>
    </w:p>
    <w:p>
      <w:pPr>
        <w:spacing w:before="120" w:after="120" w:line="288" w:lineRule="auto"/>
        <w:ind w:left="0"/>
        <w:jc w:val="left"/>
      </w:pPr>
      <w:r>
        <w:rPr>
          <w:rFonts w:eastAsia="等线" w:ascii="Arial" w:cs="Arial" w:hAnsi="Arial"/>
          <w:sz w:val="22"/>
        </w:rPr>
        <w:t>这是绿色工厂最基础的管理维度。</w:t>
      </w:r>
    </w:p>
    <w:p>
      <w:pPr>
        <w:spacing w:before="120" w:after="120" w:line="288" w:lineRule="auto"/>
        <w:ind w:left="0"/>
      </w:pPr>
      <w:r>
        <w:object>
          <v:shape id="_x0000_i1077" style="width:414pt;height:163pt;mso-width-percent:0;mso-height-percent:0;mso-width-percent:0;mso-height-percent:0" type="#_x0000_t75" o:ole="">
            <v:imagedata r:id="rId113" o:title=""/>
          </v:shape>
          <o:OLEObject DrawAspect="Icon" ObjectID="_1718471271" ProgID="Excel.Sheet.12" ShapeID="_x0000_i1077" Type="Embed" r:id="rId11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哪个区域、哪个工厂、哪个车间、哪条产线排放最高？</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维度二：时间维度</w:t>
      </w:r>
    </w:p>
    <w:p>
      <w:pPr>
        <w:spacing w:before="120" w:after="120" w:line="288" w:lineRule="auto"/>
        <w:ind w:left="0"/>
        <w:jc w:val="left"/>
      </w:pPr>
      <w:r>
        <w:rPr>
          <w:rFonts w:eastAsia="等线" w:ascii="Arial" w:cs="Arial" w:hAnsi="Arial"/>
          <w:sz w:val="22"/>
        </w:rPr>
        <w:t>绿色工厂一定要看趋势，而不是只看年度总数。</w:t>
      </w:r>
    </w:p>
    <w:p>
      <w:pPr>
        <w:spacing w:before="120" w:after="120" w:line="288" w:lineRule="auto"/>
        <w:ind w:left="0"/>
      </w:pPr>
      <w:r>
        <w:object>
          <v:shape id="_x0000_i1078" style="width:414pt;height:147pt;mso-width-percent:0;mso-height-percent:0;mso-width-percent:0;mso-height-percent:0" type="#_x0000_t75" o:ole="">
            <v:imagedata r:id="rId115" o:title=""/>
          </v:shape>
          <o:OLEObject DrawAspect="Icon" ObjectID="_1718471272" ProgID="Excel.Sheet.12" ShapeID="_x0000_i1078" Type="Embed" r:id="rId11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碳排是上升还是下降？哪个月异常？哪个班次能耗高？</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维度三：产品/车型维度</w:t>
      </w:r>
    </w:p>
    <w:p>
      <w:pPr>
        <w:spacing w:before="120" w:after="120" w:line="288" w:lineRule="auto"/>
        <w:ind w:left="0"/>
        <w:jc w:val="left"/>
      </w:pPr>
      <w:r>
        <w:rPr>
          <w:rFonts w:eastAsia="等线" w:ascii="Arial" w:cs="Arial" w:hAnsi="Arial"/>
          <w:sz w:val="22"/>
        </w:rPr>
        <w:t>Magna 做整车组装，必须有产品维度。</w:t>
      </w:r>
    </w:p>
    <w:p>
      <w:pPr>
        <w:spacing w:before="120" w:after="120" w:line="288" w:lineRule="auto"/>
        <w:ind w:left="0"/>
      </w:pPr>
      <w:r>
        <w:object>
          <v:shape id="_x0000_i1079" style="width:414pt;height:147pt;mso-width-percent:0;mso-height-percent:0;mso-width-percent:0;mso-height-percent:0" type="#_x0000_t75" o:ole="">
            <v:imagedata r:id="rId117" o:title=""/>
          </v:shape>
          <o:OLEObject DrawAspect="Icon" ObjectID="_1718471273" ProgID="Excel.Sheet.12" ShapeID="_x0000_i1079" Type="Embed" r:id="rId11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哪款车型单车 PCF 高？BEV 和 ICE 差在哪？高配和低配差多少？</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维度四：生命周期阶段维度</w:t>
      </w:r>
    </w:p>
    <w:p>
      <w:pPr>
        <w:spacing w:before="120" w:after="120" w:line="288" w:lineRule="auto"/>
        <w:ind w:left="0"/>
        <w:jc w:val="left"/>
      </w:pPr>
      <w:r>
        <w:rPr>
          <w:rFonts w:eastAsia="等线" w:ascii="Arial" w:cs="Arial" w:hAnsi="Arial"/>
          <w:sz w:val="22"/>
        </w:rPr>
        <w:t>这是 PCF 的核心维度。</w:t>
      </w:r>
    </w:p>
    <w:p>
      <w:pPr>
        <w:spacing w:before="120" w:after="120" w:line="288" w:lineRule="auto"/>
        <w:ind w:left="0"/>
        <w:jc w:val="left"/>
      </w:pPr>
      <w:r>
        <w:rPr>
          <w:rFonts w:eastAsia="等线" w:ascii="Arial" w:cs="Arial" w:hAnsi="Arial"/>
          <w:sz w:val="22"/>
        </w:rPr>
        <w:t>对于 Magna，如果先做制造端，可以用：</w:t>
      </w:r>
    </w:p>
    <w:p>
      <w:pPr>
        <w:spacing w:before="120" w:after="120" w:line="288" w:lineRule="auto"/>
        <w:ind w:left="0"/>
      </w:pPr>
      <w:r>
        <w:object>
          <v:shape id="_x0000_i1080" style="width:414pt;height:128pt;mso-width-percent:0;mso-height-percent:0;mso-width-percent:0;mso-height-percent:0" type="#_x0000_t75" o:ole="">
            <v:imagedata r:id="rId119" o:title=""/>
          </v:shape>
          <o:OLEObject DrawAspect="Icon" ObjectID="_1718471274" ProgID="Excel.Sheet.12" ShapeID="_x0000_i1080" Type="Embed" r:id="rId11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如果做完整整车 LCA，再增加：</w:t>
      </w:r>
    </w:p>
    <w:p>
      <w:pPr>
        <w:spacing w:before="120" w:after="120" w:line="288" w:lineRule="auto"/>
        <w:ind w:left="0"/>
      </w:pPr>
      <w:r>
        <w:object>
          <v:shape id="_x0000_i1081" style="width:414pt;height:75pt;mso-width-percent:0;mso-height-percent:0;mso-width-percent:0;mso-height-percent:0" type="#_x0000_t75" o:ole="">
            <v:imagedata r:id="rId121" o:title=""/>
          </v:shape>
          <o:OLEObject DrawAspect="Icon" ObjectID="_1718471275" ProgID="Excel.Sheet.12" ShapeID="_x0000_i1081" Type="Embed" r:id="rId12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整车 PCF 主要来自材料、制造、使用，还是报废？</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维度五：Scope / 排放类别维度</w:t>
      </w:r>
    </w:p>
    <w:p>
      <w:pPr>
        <w:spacing w:before="120" w:after="120" w:line="288" w:lineRule="auto"/>
        <w:ind w:left="0"/>
        <w:jc w:val="left"/>
      </w:pPr>
      <w:r>
        <w:rPr>
          <w:rFonts w:eastAsia="等线" w:ascii="Arial" w:cs="Arial" w:hAnsi="Arial"/>
          <w:sz w:val="22"/>
        </w:rPr>
        <w:t>这用于组织碳盘查和审查。</w:t>
      </w:r>
    </w:p>
    <w:p>
      <w:pPr>
        <w:spacing w:before="120" w:after="120" w:line="288" w:lineRule="auto"/>
        <w:ind w:left="0"/>
      </w:pPr>
      <w:r>
        <w:object>
          <v:shape id="_x0000_i1082" style="width:414pt;height:182pt;mso-width-percent:0;mso-height-percent:0;mso-width-percent:0;mso-height-percent:0" type="#_x0000_t75" o:ole="">
            <v:imagedata r:id="rId123" o:title=""/>
          </v:shape>
          <o:OLEObject DrawAspect="Icon" ObjectID="_1718471276" ProgID="Excel.Sheet.12" ShapeID="_x0000_i1082" Type="Embed" r:id="rId12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组织层面 Scope 1/2/3 分别是多少？产品 PCF 中对应哪些 Scope 数据？</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维度六：工艺过程维度</w:t>
      </w:r>
    </w:p>
    <w:p>
      <w:pPr>
        <w:spacing w:before="120" w:after="120" w:line="288" w:lineRule="auto"/>
        <w:ind w:left="0"/>
        <w:jc w:val="left"/>
      </w:pPr>
      <w:r>
        <w:rPr>
          <w:rFonts w:eastAsia="等线" w:ascii="Arial" w:cs="Arial" w:hAnsi="Arial"/>
          <w:sz w:val="22"/>
        </w:rPr>
        <w:t>这是绿色工厂优化最重要的维度之一。</w:t>
      </w:r>
    </w:p>
    <w:p>
      <w:pPr>
        <w:spacing w:before="120" w:after="120" w:line="288" w:lineRule="auto"/>
        <w:ind w:left="0"/>
      </w:pPr>
      <w:r>
        <w:object>
          <v:shape id="_x0000_i1083" style="width:414pt;height:163pt;mso-width-percent:0;mso-height-percent:0;mso-width-percent:0;mso-height-percent:0" type="#_x0000_t75" o:ole="">
            <v:imagedata r:id="rId125" o:title=""/>
          </v:shape>
          <o:OLEObject DrawAspect="Icon" ObjectID="_1718471277" ProgID="Excel.Sheet.12" ShapeID="_x0000_i1083" Type="Embed" r:id="rId12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哪一个工艺段最耗能？哪一个工艺段单位碳排最高？</w:t>
            </w:r>
          </w:p>
        </w:tc>
      </w:tr>
    </w:tbl>
    <w:p>
      <w:pPr>
        <w:spacing w:before="120" w:after="120" w:line="288" w:lineRule="auto"/>
        <w:ind w:left="0"/>
        <w:jc w:val="left"/>
      </w:pPr>
      <w:r>
        <w:rPr>
          <w:rFonts w:eastAsia="等线" w:ascii="Arial" w:cs="Arial" w:hAnsi="Arial"/>
          <w:sz w:val="22"/>
        </w:rPr>
        <w:t>对于汽车厂，通常要特别盯：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涂装、空压站、焊装机器人、冷冻站、RTO、锅炉、返修区。</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维度七：能源类型维度</w:t>
      </w:r>
    </w:p>
    <w:p>
      <w:pPr>
        <w:spacing w:before="120" w:after="120" w:line="288" w:lineRule="auto"/>
        <w:ind w:left="0"/>
        <w:jc w:val="left"/>
      </w:pPr>
      <w:r>
        <w:rPr>
          <w:rFonts w:eastAsia="等线" w:ascii="Arial" w:cs="Arial" w:hAnsi="Arial"/>
          <w:sz w:val="22"/>
        </w:rPr>
        <w:t>绿色工厂一定要看能源结构。</w:t>
      </w:r>
    </w:p>
    <w:p>
      <w:pPr>
        <w:spacing w:before="120" w:after="120" w:line="288" w:lineRule="auto"/>
        <w:ind w:left="0"/>
      </w:pPr>
      <w:r>
        <w:object>
          <v:shape id="_x0000_i1084" style="width:414pt;height:197pt;mso-width-percent:0;mso-height-percent:0;mso-width-percent:0;mso-height-percent:0" type="#_x0000_t75" o:ole="">
            <v:imagedata r:id="rId127" o:title=""/>
          </v:shape>
          <o:OLEObject DrawAspect="Icon" ObjectID="_1718471278" ProgID="Excel.Sheet.12" ShapeID="_x0000_i1084" Type="Embed" r:id="rId12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碳排主要来自电，还是天然气？绿电比例多少？单位车能耗是否下降？</w:t>
            </w:r>
          </w:p>
        </w:tc>
      </w:tr>
    </w:tbl>
    <w:p>
      <w:pPr>
        <w:spacing w:before="120" w:after="120" w:line="288" w:lineRule="auto"/>
        <w:ind w:left="0"/>
        <w:jc w:val="left"/>
      </w:pPr>
      <w:r>
        <w:rPr>
          <w:rFonts w:eastAsia="等线" w:ascii="Arial" w:cs="Arial" w:hAnsi="Arial"/>
          <w:sz w:val="22"/>
        </w:rPr>
        <w:t>这里要注意：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压缩空气本身不是一种外购能源，但它通常是高耗电系统，需要在平台里作为“能源介质”单独监控。</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维度八：材料/BOM 维度</w:t>
      </w:r>
    </w:p>
    <w:p>
      <w:pPr>
        <w:spacing w:before="120" w:after="120" w:line="288" w:lineRule="auto"/>
        <w:ind w:left="0"/>
        <w:jc w:val="left"/>
      </w:pPr>
      <w:r>
        <w:rPr>
          <w:rFonts w:eastAsia="等线" w:ascii="Arial" w:cs="Arial" w:hAnsi="Arial"/>
          <w:sz w:val="22"/>
        </w:rPr>
        <w:t>整车 PCF 最大的一块通常来自材料和零部件，尤其是 BEV 的电池。</w:t>
      </w:r>
    </w:p>
    <w:p>
      <w:pPr>
        <w:spacing w:before="120" w:after="120" w:line="288" w:lineRule="auto"/>
        <w:ind w:left="0"/>
      </w:pPr>
      <w:r>
        <w:object>
          <v:shape id="_x0000_i1085" style="width:414pt;height:197pt;mso-width-percent:0;mso-height-percent:0;mso-width-percent:0;mso-height-percent:0" type="#_x0000_t75" o:ole="">
            <v:imagedata r:id="rId129" o:title=""/>
          </v:shape>
          <o:OLEObject DrawAspect="Icon" ObjectID="_1718471279" ProgID="Excel.Sheet.12" ShapeID="_x0000_i1085" Type="Embed" r:id="rId12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哪种材料贡献最大？哪个供应商零件碳排高？换低碳材料能降多少？</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维度九：质量/良率维度</w:t>
      </w:r>
    </w:p>
    <w:p>
      <w:pPr>
        <w:spacing w:before="120" w:after="120" w:line="288" w:lineRule="auto"/>
        <w:ind w:left="0"/>
        <w:jc w:val="left"/>
      </w:pPr>
      <w:r>
        <w:rPr>
          <w:rFonts w:eastAsia="等线" w:ascii="Arial" w:cs="Arial" w:hAnsi="Arial"/>
          <w:sz w:val="22"/>
        </w:rPr>
        <w:t>这是很多能碳平台容易漏掉，但对绿色工厂很有价值的部分。</w:t>
      </w:r>
    </w:p>
    <w:p>
      <w:pPr>
        <w:spacing w:before="120" w:after="120" w:line="288" w:lineRule="auto"/>
        <w:ind w:left="0"/>
      </w:pPr>
      <w:r>
        <w:object>
          <v:shape id="_x0000_i1086" style="width:414pt;height:182pt;mso-width-percent:0;mso-height-percent:0;mso-width-percent:0;mso-height-percent:0" type="#_x0000_t75" o:ole="">
            <v:imagedata r:id="rId131" o:title=""/>
          </v:shape>
          <o:OLEObject DrawAspect="Icon" ObjectID="_1718471280" ProgID="Excel.Sheet.12" ShapeID="_x0000_i1086" Type="Embed" r:id="rId13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质量问题造成了多少额外碳排？良率提升 1%，能减少多少 kgCO₂e/辆？</w:t>
            </w:r>
          </w:p>
        </w:tc>
      </w:tr>
    </w:tbl>
    <w:p>
      <w:pPr>
        <w:spacing w:before="120" w:after="120" w:line="288" w:lineRule="auto"/>
        <w:ind w:left="0"/>
        <w:jc w:val="left"/>
      </w:pPr>
      <w:r>
        <w:rPr>
          <w:rFonts w:eastAsia="等线" w:ascii="Arial" w:cs="Arial" w:hAnsi="Arial"/>
          <w:sz w:val="22"/>
        </w:rPr>
        <w:t>这对绿色工厂非常有价值，因为它把质量管理和碳管理打通了。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维度十：减排项目维度</w:t>
      </w:r>
    </w:p>
    <w:p>
      <w:pPr>
        <w:spacing w:before="120" w:after="120" w:line="288" w:lineRule="auto"/>
        <w:ind w:left="0"/>
        <w:jc w:val="left"/>
      </w:pPr>
      <w:r>
        <w:rPr>
          <w:rFonts w:eastAsia="等线" w:ascii="Arial" w:cs="Arial" w:hAnsi="Arial"/>
          <w:sz w:val="22"/>
        </w:rPr>
        <w:t>平台最终要服务改善，所以要有项目维度。</w:t>
      </w:r>
    </w:p>
    <w:p>
      <w:pPr>
        <w:spacing w:before="120" w:after="120" w:line="288" w:lineRule="auto"/>
        <w:ind w:left="0"/>
      </w:pPr>
      <w:r>
        <w:object>
          <v:shape id="_x0000_i1087" style="width:414pt;height:163pt;mso-width-percent:0;mso-height-percent:0;mso-width-percent:0;mso-height-percent:0" type="#_x0000_t75" o:ole="">
            <v:imagedata r:id="rId133" o:title=""/>
          </v:shape>
          <o:OLEObject DrawAspect="Icon" ObjectID="_1718471281" ProgID="Excel.Sheet.12" ShapeID="_x0000_i1087" Type="Embed" r:id="rId13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这个维度回答：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哪个减排项目投入产出比最高？实际减排有没有达成？</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8" w:id="108"/>
      <w:r>
        <w:rPr>
          <w:rFonts w:eastAsia="等线" w:ascii="Arial" w:cs="Arial" w:hAnsi="Arial"/>
          <w:color w:val="3370ff"/>
          <w:sz w:val="32"/>
        </w:rPr>
        <w:t xml:space="preserve">3. </w:t>
      </w:r>
      <w:r>
        <w:rPr>
          <w:rFonts w:eastAsia="等线" w:ascii="Arial" w:cs="Arial" w:hAnsi="Arial"/>
          <w:b w:val="true"/>
          <w:sz w:val="32"/>
        </w:rPr>
        <w:t>具体要采集哪些数据？</w:t>
      </w:r>
      <w:bookmarkEnd w:id="108"/>
    </w:p>
    <w:p>
      <w:pPr>
        <w:spacing w:before="120" w:after="120" w:line="288" w:lineRule="auto"/>
        <w:ind w:left="0"/>
        <w:jc w:val="left"/>
      </w:pPr>
      <w:r>
        <w:rPr>
          <w:rFonts w:eastAsia="等线" w:ascii="Arial" w:cs="Arial" w:hAnsi="Arial"/>
          <w:sz w:val="22"/>
        </w:rPr>
        <w:t xml:space="preserve">我建议分成 </w:t>
      </w:r>
      <w:r>
        <w:rPr>
          <w:rFonts w:eastAsia="等线" w:ascii="Arial" w:cs="Arial" w:hAnsi="Arial"/>
          <w:b w:val="true"/>
          <w:sz w:val="22"/>
        </w:rPr>
        <w:t>7 类核心数据表</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9" w:id="109"/>
      <w:r>
        <w:rPr>
          <w:rFonts w:eastAsia="等线" w:ascii="Arial" w:cs="Arial" w:hAnsi="Arial"/>
          <w:b w:val="true"/>
          <w:sz w:val="30"/>
        </w:rPr>
        <w:t>1）生产数据</w:t>
      </w:r>
      <w:bookmarkEnd w:id="109"/>
    </w:p>
    <w:p>
      <w:pPr>
        <w:spacing w:before="120" w:after="120" w:line="288" w:lineRule="auto"/>
        <w:ind w:left="0"/>
      </w:pPr>
      <w:r>
        <w:object>
          <v:shape id="_x0000_i1088" style="width:414pt;height:197pt;mso-width-percent:0;mso-height-percent:0;mso-width-percent:0;mso-height-percent:0" type="#_x0000_t75" o:ole="">
            <v:imagedata r:id="rId135" o:title=""/>
          </v:shape>
          <o:OLEObject DrawAspect="Icon" ObjectID="_1718471282" ProgID="Excel.Sheet.12" ShapeID="_x0000_i1088" Type="Embed" r:id="rId13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用于：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单车分摊、产线强度、良率影响、异常分析。</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0" w:id="110"/>
      <w:r>
        <w:rPr>
          <w:rFonts w:eastAsia="等线" w:ascii="Arial" w:cs="Arial" w:hAnsi="Arial"/>
          <w:b w:val="true"/>
          <w:sz w:val="30"/>
        </w:rPr>
        <w:t>2）能源数据</w:t>
      </w:r>
      <w:bookmarkEnd w:id="110"/>
    </w:p>
    <w:p>
      <w:pPr>
        <w:spacing w:before="120" w:after="120" w:line="288" w:lineRule="auto"/>
        <w:ind w:left="0"/>
      </w:pPr>
      <w:r>
        <w:object>
          <v:shape id="_x0000_i1089" style="width:414pt;height:197pt;mso-width-percent:0;mso-height-percent:0;mso-width-percent:0;mso-height-percent:0" type="#_x0000_t75" o:ole="">
            <v:imagedata r:id="rId137" o:title=""/>
          </v:shape>
          <o:OLEObject DrawAspect="Icon" ObjectID="_1718471283" ProgID="Excel.Sheet.12" ShapeID="_x0000_i1089" Type="Embed" r:id="rId13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用于：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Scope 1、Scope 2、Scope 3 Cat.3、工艺能耗分摊。</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1" w:id="111"/>
      <w:r>
        <w:rPr>
          <w:rFonts w:eastAsia="等线" w:ascii="Arial" w:cs="Arial" w:hAnsi="Arial"/>
          <w:b w:val="true"/>
          <w:sz w:val="30"/>
        </w:rPr>
        <w:t>3）设备/工艺数据</w:t>
      </w:r>
      <w:bookmarkEnd w:id="111"/>
    </w:p>
    <w:p>
      <w:pPr>
        <w:spacing w:before="120" w:after="120" w:line="288" w:lineRule="auto"/>
        <w:ind w:left="0"/>
      </w:pPr>
      <w:r>
        <w:object>
          <v:shape id="_x0000_i1090" style="width:414pt;height:197pt;mso-width-percent:0;mso-height-percent:0;mso-width-percent:0;mso-height-percent:0" type="#_x0000_t75" o:ole="">
            <v:imagedata r:id="rId139" o:title=""/>
          </v:shape>
          <o:OLEObject DrawAspect="Icon" ObjectID="_1718471284" ProgID="Excel.Sheet.12" ShapeID="_x0000_i1090" Type="Embed" r:id="rId13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用于：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找到具体优化点，而不是只知道车间总耗能高。</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2" w:id="112"/>
      <w:r>
        <w:rPr>
          <w:rFonts w:eastAsia="等线" w:ascii="Arial" w:cs="Arial" w:hAnsi="Arial"/>
          <w:b w:val="true"/>
          <w:sz w:val="30"/>
        </w:rPr>
        <w:t>4）BOM/材料数据</w:t>
      </w:r>
      <w:bookmarkEnd w:id="112"/>
    </w:p>
    <w:p>
      <w:pPr>
        <w:spacing w:before="120" w:after="120" w:line="288" w:lineRule="auto"/>
        <w:ind w:left="0"/>
      </w:pPr>
      <w:r>
        <w:object>
          <v:shape id="_x0000_i1091" style="width:414pt;height:197pt;mso-width-percent:0;mso-height-percent:0;mso-width-percent:0;mso-height-percent:0" type="#_x0000_t75" o:ole="">
            <v:imagedata r:id="rId141" o:title=""/>
          </v:shape>
          <o:OLEObject DrawAspect="Icon" ObjectID="_1718471285" ProgID="Excel.Sheet.12" ShapeID="_x0000_i1091" Type="Embed" r:id="rId14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用于：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计算材料/零部件碳排，识别高碳材料和供应商。</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3" w:id="113"/>
      <w:r>
        <w:rPr>
          <w:rFonts w:eastAsia="等线" w:ascii="Arial" w:cs="Arial" w:hAnsi="Arial"/>
          <w:b w:val="true"/>
          <w:sz w:val="30"/>
        </w:rPr>
        <w:t>5）物流数据</w:t>
      </w:r>
      <w:bookmarkEnd w:id="113"/>
    </w:p>
    <w:p>
      <w:pPr>
        <w:spacing w:before="120" w:after="120" w:line="288" w:lineRule="auto"/>
        <w:ind w:left="0"/>
      </w:pPr>
      <w:r>
        <w:object>
          <v:shape id="_x0000_i1092" style="width:414pt;height:197pt;mso-width-percent:0;mso-height-percent:0;mso-width-percent:0;mso-height-percent:0" type="#_x0000_t75" o:ole="">
            <v:imagedata r:id="rId143" o:title=""/>
          </v:shape>
          <o:OLEObject DrawAspect="Icon" ObjectID="_1718471286" ProgID="Excel.Sheet.12" ShapeID="_x0000_i1092" Type="Embed" r:id="rId14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用于：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计算入厂物流和出厂物流，识别物流优化空间。</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4" w:id="114"/>
      <w:r>
        <w:rPr>
          <w:rFonts w:eastAsia="等线" w:ascii="Arial" w:cs="Arial" w:hAnsi="Arial"/>
          <w:b w:val="true"/>
          <w:sz w:val="30"/>
        </w:rPr>
        <w:t>6）废弃物数据</w:t>
      </w:r>
      <w:bookmarkEnd w:id="114"/>
    </w:p>
    <w:p>
      <w:pPr>
        <w:spacing w:before="120" w:after="120" w:line="288" w:lineRule="auto"/>
        <w:ind w:left="0"/>
      </w:pPr>
      <w:r>
        <w:object>
          <v:shape id="_x0000_i1093" style="width:414pt;height:197pt;mso-width-percent:0;mso-height-percent:0;mso-width-percent:0;mso-height-percent:0" type="#_x0000_t75" o:ole="">
            <v:imagedata r:id="rId145" o:title=""/>
          </v:shape>
          <o:OLEObject DrawAspect="Icon" ObjectID="_1718471287" ProgID="Excel.Sheet.12" ShapeID="_x0000_i1093" Type="Embed" r:id="rId14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用于：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计算生产废弃物碳排，发现废料和报废造成的碳损失。</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5" w:id="115"/>
      <w:r>
        <w:rPr>
          <w:rFonts w:eastAsia="等线" w:ascii="Arial" w:cs="Arial" w:hAnsi="Arial"/>
          <w:b w:val="true"/>
          <w:sz w:val="30"/>
        </w:rPr>
        <w:t>7）排放因子与凭证数据</w:t>
      </w:r>
      <w:bookmarkEnd w:id="115"/>
    </w:p>
    <w:p>
      <w:pPr>
        <w:spacing w:before="120" w:after="120" w:line="288" w:lineRule="auto"/>
        <w:ind w:left="0"/>
      </w:pPr>
      <w:r>
        <w:object>
          <v:shape id="_x0000_i1094" style="width:414pt;height:197pt;mso-width-percent:0;mso-height-percent:0;mso-width-percent:0;mso-height-percent:0" type="#_x0000_t75" o:ole="">
            <v:imagedata r:id="rId147" o:title=""/>
          </v:shape>
          <o:OLEObject DrawAspect="Icon" ObjectID="_1718471288" ProgID="Excel.Sheet.12" ShapeID="_x0000_i1094" Type="Embed" r:id="rId14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用于：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审查、追溯、客户报告、第三方核查。</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6" w:id="116"/>
      <w:r>
        <w:rPr>
          <w:rFonts w:eastAsia="等线" w:ascii="Arial" w:cs="Arial" w:hAnsi="Arial"/>
          <w:color w:val="3370ff"/>
          <w:sz w:val="32"/>
        </w:rPr>
        <w:t xml:space="preserve">4. </w:t>
      </w:r>
      <w:r>
        <w:rPr>
          <w:rFonts w:eastAsia="等线" w:ascii="Arial" w:cs="Arial" w:hAnsi="Arial"/>
          <w:b w:val="true"/>
          <w:sz w:val="32"/>
        </w:rPr>
        <w:t>最终应该有哪些核心指标？</w:t>
      </w:r>
      <w:bookmarkEnd w:id="116"/>
    </w:p>
    <w:p>
      <w:pPr>
        <w:spacing w:before="120" w:after="120" w:line="288" w:lineRule="auto"/>
        <w:ind w:left="0"/>
        <w:jc w:val="left"/>
      </w:pPr>
      <w:r>
        <w:rPr>
          <w:rFonts w:eastAsia="等线" w:ascii="Arial" w:cs="Arial" w:hAnsi="Arial"/>
          <w:sz w:val="22"/>
        </w:rPr>
        <w:t>平台不要只展示原始数据，应该形成指标体系。</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7" w:id="117"/>
      <w:r>
        <w:rPr>
          <w:rFonts w:eastAsia="等线" w:ascii="Arial" w:cs="Arial" w:hAnsi="Arial"/>
          <w:b w:val="true"/>
          <w:sz w:val="30"/>
        </w:rPr>
        <w:t>A. 绿色工厂总览指标</w:t>
      </w:r>
      <w:bookmarkEnd w:id="117"/>
    </w:p>
    <w:p>
      <w:pPr>
        <w:spacing w:before="120" w:after="120" w:line="288" w:lineRule="auto"/>
        <w:ind w:left="0"/>
      </w:pPr>
      <w:r>
        <w:object>
          <v:shape id="_x0000_i1095" style="width:414pt;height:197pt;mso-width-percent:0;mso-height-percent:0;mso-width-percent:0;mso-height-percent:0" type="#_x0000_t75" o:ole="">
            <v:imagedata r:id="rId149" o:title=""/>
          </v:shape>
          <o:OLEObject DrawAspect="Icon" ObjectID="_1718471289" ProgID="Excel.Sheet.12" ShapeID="_x0000_i1095" Type="Embed" r:id="rId148"/>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8" w:id="118"/>
      <w:r>
        <w:rPr>
          <w:rFonts w:eastAsia="等线" w:ascii="Arial" w:cs="Arial" w:hAnsi="Arial"/>
          <w:b w:val="true"/>
          <w:sz w:val="30"/>
        </w:rPr>
        <w:t>B. 产线优化指标</w:t>
      </w:r>
      <w:bookmarkEnd w:id="118"/>
    </w:p>
    <w:p>
      <w:pPr>
        <w:spacing w:before="120" w:after="120" w:line="288" w:lineRule="auto"/>
        <w:ind w:left="0"/>
      </w:pPr>
      <w:r>
        <w:object>
          <v:shape id="_x0000_i1096" style="width:414pt;height:197pt;mso-width-percent:0;mso-height-percent:0;mso-width-percent:0;mso-height-percent:0" type="#_x0000_t75" o:ole="">
            <v:imagedata r:id="rId151" o:title=""/>
          </v:shape>
          <o:OLEObject DrawAspect="Icon" ObjectID="_1718471290" ProgID="Excel.Sheet.12" ShapeID="_x0000_i1096" Type="Embed" r:id="rId150"/>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9" w:id="119"/>
      <w:r>
        <w:rPr>
          <w:rFonts w:eastAsia="等线" w:ascii="Arial" w:cs="Arial" w:hAnsi="Arial"/>
          <w:b w:val="true"/>
          <w:sz w:val="30"/>
        </w:rPr>
        <w:t>C. 产品 PCF 指标</w:t>
      </w:r>
      <w:bookmarkEnd w:id="119"/>
    </w:p>
    <w:p>
      <w:pPr>
        <w:spacing w:before="120" w:after="120" w:line="288" w:lineRule="auto"/>
        <w:ind w:left="0"/>
      </w:pPr>
      <w:r>
        <w:object>
          <v:shape id="_x0000_i1097" style="width:414pt;height:197pt;mso-width-percent:0;mso-height-percent:0;mso-width-percent:0;mso-height-percent:0" type="#_x0000_t75" o:ole="">
            <v:imagedata r:id="rId153" o:title=""/>
          </v:shape>
          <o:OLEObject DrawAspect="Icon" ObjectID="_1718471291" ProgID="Excel.Sheet.12" ShapeID="_x0000_i1097" Type="Embed" r:id="rId152"/>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0" w:id="120"/>
      <w:r>
        <w:rPr>
          <w:rFonts w:eastAsia="等线" w:ascii="Arial" w:cs="Arial" w:hAnsi="Arial"/>
          <w:b w:val="true"/>
          <w:sz w:val="30"/>
        </w:rPr>
        <w:t>D. 质量损失碳指标</w:t>
      </w:r>
      <w:bookmarkEnd w:id="120"/>
    </w:p>
    <w:p>
      <w:pPr>
        <w:spacing w:before="120" w:after="120" w:line="288" w:lineRule="auto"/>
        <w:ind w:left="0"/>
      </w:pPr>
      <w:r>
        <w:object>
          <v:shape id="_x0000_i1098" style="width:414pt;height:147pt;mso-width-percent:0;mso-height-percent:0;mso-width-percent:0;mso-height-percent:0" type="#_x0000_t75" o:ole="">
            <v:imagedata r:id="rId155" o:title=""/>
          </v:shape>
          <o:OLEObject DrawAspect="Icon" ObjectID="_1718471292" ProgID="Excel.Sheet.12" ShapeID="_x0000_i1098" Type="Embed" r:id="rId154"/>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1" w:id="121"/>
      <w:r>
        <w:rPr>
          <w:rFonts w:eastAsia="等线" w:ascii="Arial" w:cs="Arial" w:hAnsi="Arial"/>
          <w:b w:val="true"/>
          <w:sz w:val="30"/>
        </w:rPr>
        <w:t>E. 减排项目指标</w:t>
      </w:r>
      <w:bookmarkEnd w:id="121"/>
    </w:p>
    <w:p>
      <w:pPr>
        <w:spacing w:before="120" w:after="120" w:line="288" w:lineRule="auto"/>
        <w:ind w:left="0"/>
      </w:pPr>
      <w:r>
        <w:object>
          <v:shape id="_x0000_i1099" style="width:414pt;height:163pt;mso-width-percent:0;mso-height-percent:0;mso-width-percent:0;mso-height-percent:0" type="#_x0000_t75" o:ole="">
            <v:imagedata r:id="rId157" o:title=""/>
          </v:shape>
          <o:OLEObject DrawAspect="Icon" ObjectID="_1718471293" ProgID="Excel.Sheet.12" ShapeID="_x0000_i1099" Type="Embed" r:id="rId156"/>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2" w:id="122"/>
      <w:r>
        <w:rPr>
          <w:rFonts w:eastAsia="等线" w:ascii="Arial" w:cs="Arial" w:hAnsi="Arial"/>
          <w:color w:val="3370ff"/>
          <w:sz w:val="32"/>
        </w:rPr>
        <w:t xml:space="preserve">5. </w:t>
      </w:r>
      <w:r>
        <w:rPr>
          <w:rFonts w:eastAsia="等线" w:ascii="Arial" w:cs="Arial" w:hAnsi="Arial"/>
          <w:b w:val="true"/>
          <w:sz w:val="32"/>
        </w:rPr>
        <w:t>如何呈现最直观？</w:t>
      </w:r>
      <w:bookmarkEnd w:id="122"/>
    </w:p>
    <w:p>
      <w:pPr>
        <w:spacing w:before="120" w:after="120" w:line="288" w:lineRule="auto"/>
        <w:ind w:left="0"/>
        <w:jc w:val="left"/>
      </w:pPr>
      <w:r>
        <w:rPr>
          <w:rFonts w:eastAsia="等线" w:ascii="Arial" w:cs="Arial" w:hAnsi="Arial"/>
          <w:sz w:val="22"/>
        </w:rPr>
        <w:t xml:space="preserve">我建议前端做成 </w:t>
      </w:r>
      <w:r>
        <w:rPr>
          <w:rFonts w:eastAsia="等线" w:ascii="Arial" w:cs="Arial" w:hAnsi="Arial"/>
          <w:b w:val="true"/>
          <w:sz w:val="22"/>
        </w:rPr>
        <w:t>6 类核心看板</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3" w:id="123"/>
      <w:r>
        <w:rPr>
          <w:rFonts w:eastAsia="等线" w:ascii="Arial" w:cs="Arial" w:hAnsi="Arial"/>
          <w:b w:val="true"/>
          <w:sz w:val="30"/>
        </w:rPr>
        <w:t>看板一：绿色工厂总览驾驶舱 （首页已经有了）</w:t>
      </w:r>
      <w:bookmarkEnd w:id="123"/>
    </w:p>
    <w:p>
      <w:pPr>
        <w:spacing w:before="120" w:after="120" w:line="288" w:lineRule="auto"/>
        <w:ind w:left="0"/>
        <w:jc w:val="left"/>
      </w:pPr>
      <w:r>
        <w:rPr>
          <w:rFonts w:eastAsia="等线" w:ascii="Arial" w:cs="Arial" w:hAnsi="Arial"/>
          <w:sz w:val="22"/>
        </w:rPr>
        <w:t>适合管理层。</w:t>
      </w:r>
    </w:p>
    <w:p>
      <w:pPr>
        <w:spacing w:before="120" w:after="120" w:line="288" w:lineRule="auto"/>
        <w:ind w:left="0"/>
        <w:jc w:val="left"/>
      </w:pPr>
      <w:r>
        <w:rPr>
          <w:rFonts w:eastAsia="等线" w:ascii="Arial" w:cs="Arial" w:hAnsi="Arial"/>
          <w:sz w:val="22"/>
        </w:rPr>
        <w:t>核心图表：</w:t>
      </w:r>
    </w:p>
    <w:p>
      <w:pPr>
        <w:numPr>
          <w:numId w:val="269"/>
        </w:numPr>
        <w:spacing w:before="120" w:after="120" w:line="288" w:lineRule="auto"/>
        <w:ind w:left="0"/>
        <w:jc w:val="left"/>
      </w:pPr>
      <w:r>
        <w:rPr>
          <w:rFonts w:eastAsia="等线" w:ascii="Arial" w:cs="Arial" w:hAnsi="Arial"/>
          <w:b w:val="true"/>
          <w:sz w:val="22"/>
        </w:rPr>
        <w:t>年度总排放卡片</w:t>
      </w:r>
    </w:p>
    <w:p>
      <w:pPr>
        <w:numPr>
          <w:numId w:val="270"/>
        </w:numPr>
        <w:spacing w:before="120" w:after="120" w:line="288" w:lineRule="auto"/>
        <w:ind w:left="453"/>
        <w:jc w:val="left"/>
      </w:pPr>
      <w:r>
        <w:rPr>
          <w:rFonts w:eastAsia="等线" w:ascii="Arial" w:cs="Arial" w:hAnsi="Arial"/>
          <w:sz w:val="22"/>
        </w:rPr>
        <w:t xml:space="preserve"> Scope 1 </w:t>
      </w:r>
    </w:p>
    <w:p>
      <w:pPr>
        <w:numPr>
          <w:numId w:val="271"/>
        </w:numPr>
        <w:spacing w:before="120" w:after="120" w:line="288" w:lineRule="auto"/>
        <w:ind w:left="453"/>
        <w:jc w:val="left"/>
      </w:pPr>
      <w:r>
        <w:rPr>
          <w:rFonts w:eastAsia="等线" w:ascii="Arial" w:cs="Arial" w:hAnsi="Arial"/>
          <w:sz w:val="22"/>
        </w:rPr>
        <w:t xml:space="preserve"> Scope 2 </w:t>
      </w:r>
    </w:p>
    <w:p>
      <w:pPr>
        <w:numPr>
          <w:numId w:val="272"/>
        </w:numPr>
        <w:spacing w:before="120" w:after="120" w:line="288" w:lineRule="auto"/>
        <w:ind w:left="453"/>
        <w:jc w:val="left"/>
      </w:pPr>
      <w:r>
        <w:rPr>
          <w:rFonts w:eastAsia="等线" w:ascii="Arial" w:cs="Arial" w:hAnsi="Arial"/>
          <w:sz w:val="22"/>
        </w:rPr>
        <w:t xml:space="preserve"> Scope 3 </w:t>
      </w:r>
    </w:p>
    <w:p>
      <w:pPr>
        <w:numPr>
          <w:numId w:val="273"/>
        </w:numPr>
        <w:spacing w:before="120" w:after="120" w:line="288" w:lineRule="auto"/>
        <w:ind w:left="453"/>
        <w:jc w:val="left"/>
      </w:pPr>
      <w:r>
        <w:rPr>
          <w:rFonts w:eastAsia="等线" w:ascii="Arial" w:cs="Arial" w:hAnsi="Arial"/>
          <w:sz w:val="22"/>
        </w:rPr>
        <w:t xml:space="preserve"> 总排放 </w:t>
      </w:r>
    </w:p>
    <w:p>
      <w:pPr>
        <w:numPr>
          <w:numId w:val="274"/>
        </w:numPr>
        <w:spacing w:before="120" w:after="120" w:line="288" w:lineRule="auto"/>
        <w:ind w:left="453"/>
        <w:jc w:val="left"/>
      </w:pPr>
      <w:r>
        <w:rPr>
          <w:rFonts w:eastAsia="等线" w:ascii="Arial" w:cs="Arial" w:hAnsi="Arial"/>
          <w:sz w:val="22"/>
        </w:rPr>
        <w:t xml:space="preserve"> 同比变化 </w:t>
      </w:r>
    </w:p>
    <w:p>
      <w:pPr>
        <w:numPr>
          <w:numId w:val="275"/>
        </w:numPr>
        <w:spacing w:before="120" w:after="120" w:line="288" w:lineRule="auto"/>
        <w:ind w:left="0"/>
        <w:jc w:val="left"/>
      </w:pPr>
      <w:r>
        <w:rPr>
          <w:rFonts w:eastAsia="等线" w:ascii="Arial" w:cs="Arial" w:hAnsi="Arial"/>
          <w:b w:val="true"/>
          <w:sz w:val="22"/>
        </w:rPr>
        <w:t>单车 PCF 卡片</w:t>
      </w:r>
    </w:p>
    <w:p>
      <w:pPr>
        <w:numPr>
          <w:numId w:val="276"/>
        </w:numPr>
        <w:spacing w:before="120" w:after="120" w:line="288" w:lineRule="auto"/>
        <w:ind w:left="453"/>
        <w:jc w:val="left"/>
      </w:pPr>
      <w:r>
        <w:rPr>
          <w:rFonts w:eastAsia="等线" w:ascii="Arial" w:cs="Arial" w:hAnsi="Arial"/>
          <w:sz w:val="22"/>
        </w:rPr>
        <w:t xml:space="preserve"> 当前 PCF/辆 </w:t>
      </w:r>
    </w:p>
    <w:p>
      <w:pPr>
        <w:numPr>
          <w:numId w:val="277"/>
        </w:numPr>
        <w:spacing w:before="120" w:after="120" w:line="288" w:lineRule="auto"/>
        <w:ind w:left="453"/>
        <w:jc w:val="left"/>
      </w:pPr>
      <w:r>
        <w:rPr>
          <w:rFonts w:eastAsia="等线" w:ascii="Arial" w:cs="Arial" w:hAnsi="Arial"/>
          <w:sz w:val="22"/>
        </w:rPr>
        <w:t xml:space="preserve"> 去年 PCF/辆 </w:t>
      </w:r>
    </w:p>
    <w:p>
      <w:pPr>
        <w:numPr>
          <w:numId w:val="278"/>
        </w:numPr>
        <w:spacing w:before="120" w:after="120" w:line="288" w:lineRule="auto"/>
        <w:ind w:left="453"/>
        <w:jc w:val="left"/>
      </w:pPr>
      <w:r>
        <w:rPr>
          <w:rFonts w:eastAsia="等线" w:ascii="Arial" w:cs="Arial" w:hAnsi="Arial"/>
          <w:sz w:val="22"/>
        </w:rPr>
        <w:t xml:space="preserve"> 目标 PCF/辆 </w:t>
      </w:r>
    </w:p>
    <w:p>
      <w:pPr>
        <w:numPr>
          <w:numId w:val="279"/>
        </w:numPr>
        <w:spacing w:before="120" w:after="120" w:line="288" w:lineRule="auto"/>
        <w:ind w:left="453"/>
        <w:jc w:val="left"/>
      </w:pPr>
      <w:r>
        <w:rPr>
          <w:rFonts w:eastAsia="等线" w:ascii="Arial" w:cs="Arial" w:hAnsi="Arial"/>
          <w:sz w:val="22"/>
        </w:rPr>
        <w:t xml:space="preserve"> 差距 </w:t>
      </w:r>
    </w:p>
    <w:p>
      <w:pPr>
        <w:numPr>
          <w:numId w:val="280"/>
        </w:numPr>
        <w:spacing w:before="120" w:after="120" w:line="288" w:lineRule="auto"/>
        <w:ind w:left="0"/>
        <w:jc w:val="left"/>
      </w:pPr>
      <w:r>
        <w:rPr>
          <w:rFonts w:eastAsia="等线" w:ascii="Arial" w:cs="Arial" w:hAnsi="Arial"/>
          <w:b w:val="true"/>
          <w:sz w:val="22"/>
        </w:rPr>
        <w:t>能源结构环形图</w:t>
      </w:r>
    </w:p>
    <w:p>
      <w:pPr>
        <w:numPr>
          <w:numId w:val="281"/>
        </w:numPr>
        <w:spacing w:before="120" w:after="120" w:line="288" w:lineRule="auto"/>
        <w:ind w:left="453"/>
        <w:jc w:val="left"/>
      </w:pPr>
      <w:r>
        <w:rPr>
          <w:rFonts w:eastAsia="等线" w:ascii="Arial" w:cs="Arial" w:hAnsi="Arial"/>
          <w:sz w:val="22"/>
        </w:rPr>
        <w:t xml:space="preserve"> 电力 </w:t>
      </w:r>
    </w:p>
    <w:p>
      <w:pPr>
        <w:numPr>
          <w:numId w:val="282"/>
        </w:numPr>
        <w:spacing w:before="120" w:after="120" w:line="288" w:lineRule="auto"/>
        <w:ind w:left="453"/>
        <w:jc w:val="left"/>
      </w:pPr>
      <w:r>
        <w:rPr>
          <w:rFonts w:eastAsia="等线" w:ascii="Arial" w:cs="Arial" w:hAnsi="Arial"/>
          <w:sz w:val="22"/>
        </w:rPr>
        <w:t xml:space="preserve"> 天然气 </w:t>
      </w:r>
    </w:p>
    <w:p>
      <w:pPr>
        <w:numPr>
          <w:numId w:val="283"/>
        </w:numPr>
        <w:spacing w:before="120" w:after="120" w:line="288" w:lineRule="auto"/>
        <w:ind w:left="453"/>
        <w:jc w:val="left"/>
      </w:pPr>
      <w:r>
        <w:rPr>
          <w:rFonts w:eastAsia="等线" w:ascii="Arial" w:cs="Arial" w:hAnsi="Arial"/>
          <w:sz w:val="22"/>
        </w:rPr>
        <w:t xml:space="preserve"> 蒸汽 </w:t>
      </w:r>
    </w:p>
    <w:p>
      <w:pPr>
        <w:numPr>
          <w:numId w:val="284"/>
        </w:numPr>
        <w:spacing w:before="120" w:after="120" w:line="288" w:lineRule="auto"/>
        <w:ind w:left="453"/>
        <w:jc w:val="left"/>
      </w:pPr>
      <w:r>
        <w:rPr>
          <w:rFonts w:eastAsia="等线" w:ascii="Arial" w:cs="Arial" w:hAnsi="Arial"/>
          <w:sz w:val="22"/>
        </w:rPr>
        <w:t xml:space="preserve"> 柴油 </w:t>
      </w:r>
    </w:p>
    <w:p>
      <w:pPr>
        <w:numPr>
          <w:numId w:val="285"/>
        </w:numPr>
        <w:spacing w:before="120" w:after="120" w:line="288" w:lineRule="auto"/>
        <w:ind w:left="453"/>
        <w:jc w:val="left"/>
      </w:pPr>
      <w:r>
        <w:rPr>
          <w:rFonts w:eastAsia="等线" w:ascii="Arial" w:cs="Arial" w:hAnsi="Arial"/>
          <w:sz w:val="22"/>
        </w:rPr>
        <w:t xml:space="preserve"> 绿电 </w:t>
      </w:r>
    </w:p>
    <w:p>
      <w:pPr>
        <w:numPr>
          <w:numId w:val="286"/>
        </w:numPr>
        <w:spacing w:before="120" w:after="120" w:line="288" w:lineRule="auto"/>
        <w:ind w:left="0"/>
        <w:jc w:val="left"/>
      </w:pPr>
      <w:r>
        <w:rPr>
          <w:rFonts w:eastAsia="等线" w:ascii="Arial" w:cs="Arial" w:hAnsi="Arial"/>
          <w:b w:val="true"/>
          <w:sz w:val="22"/>
        </w:rPr>
        <w:t>绿色工厂目标进度条</w:t>
      </w:r>
    </w:p>
    <w:p>
      <w:pPr>
        <w:numPr>
          <w:numId w:val="287"/>
        </w:numPr>
        <w:spacing w:before="120" w:after="120" w:line="288" w:lineRule="auto"/>
        <w:ind w:left="453"/>
        <w:jc w:val="left"/>
      </w:pPr>
      <w:r>
        <w:rPr>
          <w:rFonts w:eastAsia="等线" w:ascii="Arial" w:cs="Arial" w:hAnsi="Arial"/>
          <w:sz w:val="22"/>
        </w:rPr>
        <w:t xml:space="preserve"> 绿电比例 </w:t>
      </w:r>
    </w:p>
    <w:p>
      <w:pPr>
        <w:numPr>
          <w:numId w:val="288"/>
        </w:numPr>
        <w:spacing w:before="120" w:after="120" w:line="288" w:lineRule="auto"/>
        <w:ind w:left="453"/>
        <w:jc w:val="left"/>
      </w:pPr>
      <w:r>
        <w:rPr>
          <w:rFonts w:eastAsia="等线" w:ascii="Arial" w:cs="Arial" w:hAnsi="Arial"/>
          <w:sz w:val="22"/>
        </w:rPr>
        <w:t xml:space="preserve"> 单位能耗下降 </w:t>
      </w:r>
    </w:p>
    <w:p>
      <w:pPr>
        <w:numPr>
          <w:numId w:val="289"/>
        </w:numPr>
        <w:spacing w:before="120" w:after="120" w:line="288" w:lineRule="auto"/>
        <w:ind w:left="453"/>
        <w:jc w:val="left"/>
      </w:pPr>
      <w:r>
        <w:rPr>
          <w:rFonts w:eastAsia="等线" w:ascii="Arial" w:cs="Arial" w:hAnsi="Arial"/>
          <w:sz w:val="22"/>
        </w:rPr>
        <w:t xml:space="preserve"> 单位碳排下降 </w:t>
      </w:r>
    </w:p>
    <w:p>
      <w:pPr>
        <w:numPr>
          <w:numId w:val="290"/>
        </w:numPr>
        <w:spacing w:before="120" w:after="120" w:line="288" w:lineRule="auto"/>
        <w:ind w:left="453"/>
        <w:jc w:val="left"/>
      </w:pPr>
      <w:r>
        <w:rPr>
          <w:rFonts w:eastAsia="等线" w:ascii="Arial" w:cs="Arial" w:hAnsi="Arial"/>
          <w:sz w:val="22"/>
        </w:rPr>
        <w:t xml:space="preserve"> 废弃物回收率 </w:t>
      </w:r>
    </w:p>
    <w:p>
      <w:pPr>
        <w:numPr>
          <w:numId w:val="291"/>
        </w:numPr>
        <w:spacing w:before="120" w:after="120" w:line="288" w:lineRule="auto"/>
        <w:ind w:left="453"/>
        <w:jc w:val="left"/>
      </w:pPr>
      <w:r>
        <w:rPr>
          <w:rFonts w:eastAsia="等线" w:ascii="Arial" w:cs="Arial" w:hAnsi="Arial"/>
          <w:sz w:val="22"/>
        </w:rPr>
        <w:t xml:space="preserve"> Scope 1/2 减排进度 </w:t>
      </w:r>
    </w:p>
    <w:p>
      <w:pPr>
        <w:numPr>
          <w:numId w:val="292"/>
        </w:numPr>
        <w:spacing w:before="120" w:after="120" w:line="288" w:lineRule="auto"/>
        <w:ind w:left="0"/>
        <w:jc w:val="left"/>
      </w:pPr>
      <w:r>
        <w:rPr>
          <w:rFonts w:eastAsia="等线" w:ascii="Arial" w:cs="Arial" w:hAnsi="Arial"/>
          <w:b w:val="true"/>
          <w:sz w:val="22"/>
        </w:rPr>
        <w:t>碳排趋势折线图</w:t>
      </w:r>
    </w:p>
    <w:p>
      <w:pPr>
        <w:numPr>
          <w:numId w:val="293"/>
        </w:numPr>
        <w:spacing w:before="120" w:after="120" w:line="288" w:lineRule="auto"/>
        <w:ind w:left="453"/>
        <w:jc w:val="left"/>
      </w:pPr>
      <w:r>
        <w:rPr>
          <w:rFonts w:eastAsia="等线" w:ascii="Arial" w:cs="Arial" w:hAnsi="Arial"/>
          <w:sz w:val="22"/>
        </w:rPr>
        <w:t xml:space="preserve"> 月度排放 </w:t>
      </w:r>
    </w:p>
    <w:p>
      <w:pPr>
        <w:numPr>
          <w:numId w:val="294"/>
        </w:numPr>
        <w:spacing w:before="120" w:after="120" w:line="288" w:lineRule="auto"/>
        <w:ind w:left="453"/>
        <w:jc w:val="left"/>
      </w:pPr>
      <w:r>
        <w:rPr>
          <w:rFonts w:eastAsia="等线" w:ascii="Arial" w:cs="Arial" w:hAnsi="Arial"/>
          <w:sz w:val="22"/>
        </w:rPr>
        <w:t xml:space="preserve"> 月度产量 </w:t>
      </w:r>
    </w:p>
    <w:p>
      <w:pPr>
        <w:numPr>
          <w:numId w:val="295"/>
        </w:numPr>
        <w:spacing w:before="120" w:after="120" w:line="288" w:lineRule="auto"/>
        <w:ind w:left="453"/>
        <w:jc w:val="left"/>
      </w:pPr>
      <w:r>
        <w:rPr>
          <w:rFonts w:eastAsia="等线" w:ascii="Arial" w:cs="Arial" w:hAnsi="Arial"/>
          <w:sz w:val="22"/>
        </w:rPr>
        <w:t xml:space="preserve"> 单车碳排 </w:t>
      </w:r>
    </w:p>
    <w:p>
      <w:pPr>
        <w:spacing w:before="120" w:after="120" w:line="288" w:lineRule="auto"/>
        <w:ind w:left="0"/>
        <w:jc w:val="left"/>
      </w:pPr>
      <w:r>
        <w:rPr>
          <w:rFonts w:eastAsia="等线" w:ascii="Arial" w:cs="Arial" w:hAnsi="Arial"/>
          <w:sz w:val="22"/>
        </w:rPr>
        <w:t>最重要的是：</w:t>
      </w:r>
    </w:p>
    <w:p>
      <w:pPr>
        <w:spacing w:before="120" w:after="120" w:line="288" w:lineRule="auto"/>
        <w:ind w:left="0"/>
        <w:jc w:val="left"/>
      </w:pPr>
      <w:r>
        <w:rPr>
          <w:rFonts w:eastAsia="等线" w:ascii="Arial" w:cs="Arial" w:hAnsi="Arial"/>
          <w:sz w:val="22"/>
        </w:rPr>
        <w:t xml:space="preserve"> 不要只看总排放，因为产量变化会误导判断。一定要同时看：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总排放 + 单车碳排 + 产量。</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4" w:id="124"/>
      <w:r>
        <w:rPr>
          <w:rFonts w:eastAsia="等线" w:ascii="Arial" w:cs="Arial" w:hAnsi="Arial"/>
          <w:b w:val="true"/>
          <w:sz w:val="30"/>
        </w:rPr>
        <w:t>看板二：整车 PCF 拆解看板</w:t>
      </w:r>
      <w:bookmarkEnd w:id="124"/>
    </w:p>
    <w:p>
      <w:pPr>
        <w:spacing w:before="120" w:after="120" w:line="288" w:lineRule="auto"/>
        <w:ind w:left="0"/>
        <w:jc w:val="left"/>
      </w:pPr>
      <w:r>
        <w:rPr>
          <w:rFonts w:eastAsia="等线" w:ascii="Arial" w:cs="Arial" w:hAnsi="Arial"/>
          <w:sz w:val="22"/>
        </w:rPr>
        <w:t>适合产品经理、LCA 团队、客户报告。</w:t>
      </w:r>
    </w:p>
    <w:p>
      <w:pPr>
        <w:spacing w:before="120" w:after="120" w:line="288" w:lineRule="auto"/>
        <w:ind w:left="0"/>
        <w:jc w:val="left"/>
      </w:pPr>
      <w:r>
        <w:rPr>
          <w:rFonts w:eastAsia="等线" w:ascii="Arial" w:cs="Arial" w:hAnsi="Arial"/>
          <w:sz w:val="22"/>
        </w:rPr>
        <w:t>推荐用：</w:t>
      </w:r>
    </w:p>
    <w:p>
      <w:pPr>
        <w:spacing w:before="120" w:after="120" w:line="288" w:lineRule="auto"/>
        <w:ind w:left="0"/>
        <w:jc w:val="left"/>
      </w:pPr>
      <w:r>
        <w:rPr>
          <w:rFonts w:eastAsia="等线" w:ascii="Arial" w:cs="Arial" w:hAnsi="Arial"/>
          <w:b w:val="true"/>
          <w:sz w:val="22"/>
          <w:shd w:fill="fff67a"/>
        </w:rPr>
        <w:t>1）瀑布图</w:t>
      </w:r>
    </w:p>
    <w:p>
      <w:pPr>
        <w:spacing w:before="120" w:after="120" w:line="288" w:lineRule="auto"/>
        <w:ind w:left="0"/>
        <w:jc w:val="left"/>
      </w:pPr>
      <w:r>
        <w:rPr>
          <w:rFonts w:eastAsia="等线" w:ascii="Arial" w:cs="Arial" w:hAnsi="Arial"/>
          <w:sz w:val="22"/>
        </w:rPr>
        <w:t>展示一辆车 PCF 是怎么组成的：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材料/零部件</w:t>
            </w:r>
          </w:p>
          <w:p>
            <w:pPr>
              <w:numPr>
                <w:numId w:val="296"/>
              </w:numPr>
              <w:spacing w:before="120" w:after="120" w:line="288" w:lineRule="auto"/>
              <w:ind w:left="0"/>
              <w:jc w:val="left"/>
            </w:pPr>
            <w:r>
              <w:rPr>
                <w:rFonts w:eastAsia="等线" w:ascii="Arial" w:cs="Arial" w:hAnsi="Arial"/>
                <w:color w:val="646a73"/>
                <w:sz w:val="22"/>
              </w:rPr>
              <w:t xml:space="preserve"> 入厂物流 </w:t>
            </w:r>
          </w:p>
          <w:p>
            <w:pPr>
              <w:numPr>
                <w:numId w:val="297"/>
              </w:numPr>
              <w:spacing w:before="120" w:after="120" w:line="288" w:lineRule="auto"/>
              <w:ind w:left="0"/>
              <w:jc w:val="left"/>
            </w:pPr>
            <w:r>
              <w:rPr>
                <w:rFonts w:eastAsia="等线" w:ascii="Arial" w:cs="Arial" w:hAnsi="Arial"/>
                <w:color w:val="646a73"/>
                <w:sz w:val="22"/>
              </w:rPr>
              <w:t xml:space="preserve"> 工厂 Scope 1 </w:t>
            </w:r>
          </w:p>
          <w:p>
            <w:pPr>
              <w:numPr>
                <w:numId w:val="298"/>
              </w:numPr>
              <w:spacing w:before="120" w:after="120" w:line="288" w:lineRule="auto"/>
              <w:ind w:left="0"/>
              <w:jc w:val="left"/>
            </w:pPr>
            <w:r>
              <w:rPr>
                <w:rFonts w:eastAsia="等线" w:ascii="Arial" w:cs="Arial" w:hAnsi="Arial"/>
                <w:color w:val="646a73"/>
                <w:sz w:val="22"/>
              </w:rPr>
              <w:t xml:space="preserve"> 工厂 Scope 2 </w:t>
            </w:r>
          </w:p>
          <w:p>
            <w:pPr>
              <w:numPr>
                <w:numId w:val="299"/>
              </w:numPr>
              <w:spacing w:before="120" w:after="120" w:line="288" w:lineRule="auto"/>
              <w:ind w:left="0"/>
              <w:jc w:val="left"/>
            </w:pPr>
            <w:r>
              <w:rPr>
                <w:rFonts w:eastAsia="等线" w:ascii="Arial" w:cs="Arial" w:hAnsi="Arial"/>
                <w:color w:val="646a73"/>
                <w:sz w:val="22"/>
              </w:rPr>
              <w:t xml:space="preserve"> 能源上游 </w:t>
            </w:r>
          </w:p>
          <w:p>
            <w:pPr>
              <w:numPr>
                <w:numId w:val="300"/>
              </w:numPr>
              <w:spacing w:before="120" w:after="120" w:line="288" w:lineRule="auto"/>
              <w:ind w:left="0"/>
              <w:jc w:val="left"/>
            </w:pPr>
            <w:r>
              <w:rPr>
                <w:rFonts w:eastAsia="等线" w:ascii="Arial" w:cs="Arial" w:hAnsi="Arial"/>
                <w:color w:val="646a73"/>
                <w:sz w:val="22"/>
              </w:rPr>
              <w:t xml:space="preserve"> 生产废弃物 </w:t>
            </w:r>
          </w:p>
          <w:p>
            <w:pPr>
              <w:numPr>
                <w:numId w:val="301"/>
              </w:numPr>
              <w:spacing w:before="120" w:after="120" w:line="288" w:lineRule="auto"/>
              <w:ind w:left="0"/>
              <w:jc w:val="left"/>
            </w:pPr>
            <w:r>
              <w:rPr>
                <w:rFonts w:eastAsia="等线" w:ascii="Arial" w:cs="Arial" w:hAnsi="Arial"/>
                <w:color w:val="646a73"/>
                <w:sz w:val="22"/>
              </w:rPr>
              <w:t xml:space="preserve"> 出厂物流 </w:t>
            </w:r>
          </w:p>
          <w:p>
            <w:pPr>
              <w:numPr>
                <w:numId w:val="302"/>
              </w:numPr>
              <w:spacing w:before="120" w:after="120" w:line="288" w:lineRule="auto"/>
              <w:ind w:left="0"/>
              <w:jc w:val="left"/>
            </w:pPr>
            <w:r>
              <w:rPr>
                <w:rFonts w:eastAsia="等线" w:ascii="Arial" w:cs="Arial" w:hAnsi="Arial"/>
                <w:color w:val="646a73"/>
                <w:sz w:val="22"/>
              </w:rPr>
              <w:t xml:space="preserve"> 使用阶段 </w:t>
            </w:r>
          </w:p>
          <w:p>
            <w:pPr>
              <w:numPr>
                <w:numId w:val="303"/>
              </w:numPr>
              <w:spacing w:before="120" w:after="120" w:line="288" w:lineRule="auto"/>
              <w:ind w:left="0"/>
              <w:jc w:val="left"/>
            </w:pPr>
            <w:r>
              <w:rPr>
                <w:rFonts w:eastAsia="等线" w:ascii="Arial" w:cs="Arial" w:hAnsi="Arial"/>
                <w:color w:val="646a73"/>
                <w:sz w:val="22"/>
              </w:rPr>
              <w:t xml:space="preserve"> 报废阶段</w:t>
              <w:br/>
            </w:r>
            <w:r>
              <w:rPr>
                <w:rFonts w:eastAsia="等线" w:ascii="Arial" w:cs="Arial" w:hAnsi="Arial"/>
                <w:color w:val="646a73"/>
                <w:sz w:val="22"/>
              </w:rPr>
              <w:t xml:space="preserve"> = 整车 PCF </w:t>
            </w:r>
          </w:p>
        </w:tc>
      </w:tr>
    </w:tbl>
    <w:p>
      <w:pPr>
        <w:spacing w:before="120" w:after="120" w:line="288" w:lineRule="auto"/>
        <w:ind w:left="0"/>
        <w:jc w:val="left"/>
      </w:pPr>
      <w:r>
        <w:rPr>
          <w:rFonts w:eastAsia="等线" w:ascii="Arial" w:cs="Arial" w:hAnsi="Arial"/>
          <w:sz w:val="22"/>
        </w:rPr>
        <w:t>瀑布图非常适合解释：</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每一部分贡献了多少碳。</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shd w:fill="fff67a"/>
        </w:rPr>
        <w:t>2）生命周期堆叠柱状图</w:t>
      </w:r>
    </w:p>
    <w:p>
      <w:pPr>
        <w:spacing w:before="120" w:after="120" w:line="288" w:lineRule="auto"/>
        <w:ind w:left="0"/>
        <w:jc w:val="left"/>
      </w:pPr>
      <w:r>
        <w:rPr>
          <w:rFonts w:eastAsia="等线" w:ascii="Arial" w:cs="Arial" w:hAnsi="Arial"/>
          <w:sz w:val="22"/>
        </w:rPr>
        <w:t>比较不同车型：</w:t>
      </w:r>
    </w:p>
    <w:p>
      <w:pPr>
        <w:spacing w:before="120" w:after="120" w:line="288" w:lineRule="auto"/>
        <w:ind w:left="0"/>
      </w:pPr>
      <w:r>
        <w:object>
          <v:shape id="_x0000_i1100" style="width:414pt;height:18pt;mso-width-percent:0;mso-height-percent:0;mso-width-percent:0;mso-height-percent:0" type="#_x0000_t75" o:ole="">
            <v:imagedata r:id="rId159" o:title=""/>
          </v:shape>
          <o:OLEObject DrawAspect="Icon" ObjectID="_1718471294" ProgID="Excel.Sheet.12" ShapeID="_x0000_i1100" Type="Embed" r:id="rId15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可以直观看到：</w:t>
      </w:r>
    </w:p>
    <w:p>
      <w:pPr>
        <w:numPr>
          <w:numId w:val="304"/>
        </w:numPr>
        <w:spacing w:before="120" w:after="120" w:line="288" w:lineRule="auto"/>
        <w:ind w:left="0"/>
        <w:jc w:val="left"/>
      </w:pPr>
      <w:r>
        <w:rPr>
          <w:rFonts w:eastAsia="等线" w:ascii="Arial" w:cs="Arial" w:hAnsi="Arial"/>
          <w:sz w:val="22"/>
        </w:rPr>
        <w:t xml:space="preserve"> BEV 材料阶段高； </w:t>
      </w:r>
    </w:p>
    <w:p>
      <w:pPr>
        <w:numPr>
          <w:numId w:val="305"/>
        </w:numPr>
        <w:spacing w:before="120" w:after="120" w:line="288" w:lineRule="auto"/>
        <w:ind w:left="0"/>
        <w:jc w:val="left"/>
      </w:pPr>
      <w:r>
        <w:rPr>
          <w:rFonts w:eastAsia="等线" w:ascii="Arial" w:cs="Arial" w:hAnsi="Arial"/>
          <w:sz w:val="22"/>
        </w:rPr>
        <w:t xml:space="preserve"> ICE 使用阶段高； </w:t>
      </w:r>
    </w:p>
    <w:p>
      <w:pPr>
        <w:numPr>
          <w:numId w:val="306"/>
        </w:numPr>
        <w:spacing w:before="120" w:after="120" w:line="288" w:lineRule="auto"/>
        <w:ind w:left="0"/>
        <w:jc w:val="left"/>
      </w:pPr>
      <w:r>
        <w:rPr>
          <w:rFonts w:eastAsia="等线" w:ascii="Arial" w:cs="Arial" w:hAnsi="Arial"/>
          <w:sz w:val="22"/>
        </w:rPr>
        <w:t xml:space="preserve"> 某些车型制造阶段高； </w:t>
      </w:r>
    </w:p>
    <w:p>
      <w:pPr>
        <w:numPr>
          <w:numId w:val="307"/>
        </w:numPr>
        <w:spacing w:before="120" w:after="120" w:line="288" w:lineRule="auto"/>
        <w:ind w:left="0"/>
        <w:jc w:val="left"/>
      </w:pPr>
      <w:r>
        <w:rPr>
          <w:rFonts w:eastAsia="等线" w:ascii="Arial" w:cs="Arial" w:hAnsi="Arial"/>
          <w:sz w:val="22"/>
        </w:rPr>
        <w:t xml:space="preserve"> 不同地区使用阶段差异大。 </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shd w:fill="fff67a"/>
        </w:rPr>
        <w:t>3）PCF 热点 Top 10</w:t>
      </w:r>
    </w:p>
    <w:p>
      <w:pPr>
        <w:spacing w:before="120" w:after="120" w:line="288" w:lineRule="auto"/>
        <w:ind w:left="0"/>
        <w:jc w:val="left"/>
      </w:pPr>
      <w:r>
        <w:rPr>
          <w:rFonts w:eastAsia="等线" w:ascii="Arial" w:cs="Arial" w:hAnsi="Arial"/>
          <w:sz w:val="22"/>
        </w:rPr>
        <w:t>显示贡献最大的来源：</w:t>
      </w:r>
    </w:p>
    <w:p>
      <w:pPr>
        <w:spacing w:before="120" w:after="120" w:line="288" w:lineRule="auto"/>
        <w:ind w:left="0"/>
      </w:pPr>
      <w:r>
        <w:object>
          <v:shape id="_x0000_i1101" style="width:414pt;height:128pt;mso-width-percent:0;mso-height-percent:0;mso-width-percent:0;mso-height-percent:0" type="#_x0000_t75" o:ole="">
            <v:imagedata r:id="rId161" o:title=""/>
          </v:shape>
          <o:OLEObject DrawAspect="Icon" ObjectID="_1718471295" ProgID="Excel.Sheet.12" ShapeID="_x0000_i1101" Type="Embed" r:id="rId16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这张表是优化工作的入口。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5" w:id="125"/>
      <w:r>
        <w:rPr>
          <w:rFonts w:eastAsia="等线" w:ascii="Arial" w:cs="Arial" w:hAnsi="Arial"/>
          <w:b w:val="true"/>
          <w:sz w:val="30"/>
        </w:rPr>
        <w:t>看板三：工艺/产线能碳地图</w:t>
      </w:r>
      <w:bookmarkEnd w:id="125"/>
    </w:p>
    <w:p>
      <w:pPr>
        <w:spacing w:before="120" w:after="120" w:line="288" w:lineRule="auto"/>
        <w:ind w:left="0"/>
        <w:jc w:val="left"/>
      </w:pPr>
      <w:r>
        <w:rPr>
          <w:rFonts w:eastAsia="等线" w:ascii="Arial" w:cs="Arial" w:hAnsi="Arial"/>
          <w:sz w:val="22"/>
        </w:rPr>
        <w:t>适合工厂厂长、能源经理、生产经理。</w:t>
      </w:r>
    </w:p>
    <w:p>
      <w:pPr>
        <w:spacing w:before="120" w:after="120" w:line="288" w:lineRule="auto"/>
        <w:ind w:left="0"/>
        <w:jc w:val="left"/>
      </w:pPr>
      <w:r>
        <w:rPr>
          <w:rFonts w:eastAsia="等线" w:ascii="Arial" w:cs="Arial" w:hAnsi="Arial"/>
          <w:sz w:val="22"/>
        </w:rPr>
        <w:t>推荐用：</w:t>
      </w:r>
    </w:p>
    <w:p>
      <w:pPr>
        <w:spacing w:before="120" w:after="120" w:line="288" w:lineRule="auto"/>
        <w:ind w:left="0"/>
        <w:jc w:val="left"/>
      </w:pPr>
      <w:r>
        <w:rPr>
          <w:rFonts w:eastAsia="等线" w:ascii="Arial" w:cs="Arial" w:hAnsi="Arial"/>
          <w:b w:val="true"/>
          <w:sz w:val="22"/>
        </w:rPr>
        <w:t>1）工艺 Sankey 桑基图</w:t>
      </w:r>
    </w:p>
    <w:p>
      <w:pPr>
        <w:spacing w:before="120" w:after="120" w:line="288" w:lineRule="auto"/>
        <w:ind w:left="0"/>
        <w:jc w:val="left"/>
      </w:pPr>
      <w:r>
        <w:rPr>
          <w:rFonts w:eastAsia="等线" w:ascii="Arial" w:cs="Arial" w:hAnsi="Arial"/>
          <w:sz w:val="22"/>
        </w:rPr>
        <w:t>左边是能源：</w:t>
      </w:r>
    </w:p>
    <w:p>
      <w:pPr>
        <w:numPr>
          <w:numId w:val="308"/>
        </w:numPr>
        <w:spacing w:before="120" w:after="120" w:line="288" w:lineRule="auto"/>
        <w:ind w:left="0"/>
        <w:jc w:val="left"/>
      </w:pPr>
      <w:r>
        <w:rPr>
          <w:rFonts w:eastAsia="等线" w:ascii="Arial" w:cs="Arial" w:hAnsi="Arial"/>
          <w:sz w:val="22"/>
        </w:rPr>
        <w:t xml:space="preserve"> 电力 </w:t>
      </w:r>
    </w:p>
    <w:p>
      <w:pPr>
        <w:numPr>
          <w:numId w:val="309"/>
        </w:numPr>
        <w:spacing w:before="120" w:after="120" w:line="288" w:lineRule="auto"/>
        <w:ind w:left="0"/>
        <w:jc w:val="left"/>
      </w:pPr>
      <w:r>
        <w:rPr>
          <w:rFonts w:eastAsia="等线" w:ascii="Arial" w:cs="Arial" w:hAnsi="Arial"/>
          <w:sz w:val="22"/>
        </w:rPr>
        <w:t xml:space="preserve"> 天然气 </w:t>
      </w:r>
    </w:p>
    <w:p>
      <w:pPr>
        <w:numPr>
          <w:numId w:val="310"/>
        </w:numPr>
        <w:spacing w:before="120" w:after="120" w:line="288" w:lineRule="auto"/>
        <w:ind w:left="0"/>
        <w:jc w:val="left"/>
      </w:pPr>
      <w:r>
        <w:rPr>
          <w:rFonts w:eastAsia="等线" w:ascii="Arial" w:cs="Arial" w:hAnsi="Arial"/>
          <w:sz w:val="22"/>
        </w:rPr>
        <w:t xml:space="preserve"> 蒸汽 </w:t>
      </w:r>
    </w:p>
    <w:p>
      <w:pPr>
        <w:numPr>
          <w:numId w:val="311"/>
        </w:numPr>
        <w:spacing w:before="120" w:after="120" w:line="288" w:lineRule="auto"/>
        <w:ind w:left="0"/>
        <w:jc w:val="left"/>
      </w:pPr>
      <w:r>
        <w:rPr>
          <w:rFonts w:eastAsia="等线" w:ascii="Arial" w:cs="Arial" w:hAnsi="Arial"/>
          <w:sz w:val="22"/>
        </w:rPr>
        <w:t xml:space="preserve"> 压缩空气 </w:t>
      </w:r>
    </w:p>
    <w:p>
      <w:pPr>
        <w:spacing w:before="120" w:after="120" w:line="288" w:lineRule="auto"/>
        <w:ind w:left="0"/>
        <w:jc w:val="left"/>
      </w:pPr>
      <w:r>
        <w:rPr>
          <w:rFonts w:eastAsia="等线" w:ascii="Arial" w:cs="Arial" w:hAnsi="Arial"/>
          <w:sz w:val="22"/>
        </w:rPr>
        <w:t>中间是工艺：</w:t>
      </w:r>
    </w:p>
    <w:p>
      <w:pPr>
        <w:numPr>
          <w:numId w:val="312"/>
        </w:numPr>
        <w:spacing w:before="120" w:after="120" w:line="288" w:lineRule="auto"/>
        <w:ind w:left="0"/>
        <w:jc w:val="left"/>
      </w:pPr>
      <w:r>
        <w:rPr>
          <w:rFonts w:eastAsia="等线" w:ascii="Arial" w:cs="Arial" w:hAnsi="Arial"/>
          <w:sz w:val="22"/>
        </w:rPr>
        <w:t xml:space="preserve"> 冲压 </w:t>
      </w:r>
    </w:p>
    <w:p>
      <w:pPr>
        <w:numPr>
          <w:numId w:val="313"/>
        </w:numPr>
        <w:spacing w:before="120" w:after="120" w:line="288" w:lineRule="auto"/>
        <w:ind w:left="0"/>
        <w:jc w:val="left"/>
      </w:pPr>
      <w:r>
        <w:rPr>
          <w:rFonts w:eastAsia="等线" w:ascii="Arial" w:cs="Arial" w:hAnsi="Arial"/>
          <w:sz w:val="22"/>
        </w:rPr>
        <w:t xml:space="preserve"> 焊装 </w:t>
      </w:r>
    </w:p>
    <w:p>
      <w:pPr>
        <w:numPr>
          <w:numId w:val="314"/>
        </w:numPr>
        <w:spacing w:before="120" w:after="120" w:line="288" w:lineRule="auto"/>
        <w:ind w:left="0"/>
        <w:jc w:val="left"/>
      </w:pPr>
      <w:r>
        <w:rPr>
          <w:rFonts w:eastAsia="等线" w:ascii="Arial" w:cs="Arial" w:hAnsi="Arial"/>
          <w:sz w:val="22"/>
        </w:rPr>
        <w:t xml:space="preserve"> 涂装 </w:t>
      </w:r>
    </w:p>
    <w:p>
      <w:pPr>
        <w:numPr>
          <w:numId w:val="315"/>
        </w:numPr>
        <w:spacing w:before="120" w:after="120" w:line="288" w:lineRule="auto"/>
        <w:ind w:left="0"/>
        <w:jc w:val="left"/>
      </w:pPr>
      <w:r>
        <w:rPr>
          <w:rFonts w:eastAsia="等线" w:ascii="Arial" w:cs="Arial" w:hAnsi="Arial"/>
          <w:sz w:val="22"/>
        </w:rPr>
        <w:t xml:space="preserve"> 总装 </w:t>
      </w:r>
    </w:p>
    <w:p>
      <w:pPr>
        <w:numPr>
          <w:numId w:val="316"/>
        </w:numPr>
        <w:spacing w:before="120" w:after="120" w:line="288" w:lineRule="auto"/>
        <w:ind w:left="0"/>
        <w:jc w:val="left"/>
      </w:pPr>
      <w:r>
        <w:rPr>
          <w:rFonts w:eastAsia="等线" w:ascii="Arial" w:cs="Arial" w:hAnsi="Arial"/>
          <w:sz w:val="22"/>
        </w:rPr>
        <w:t xml:space="preserve"> 检测 </w:t>
      </w:r>
    </w:p>
    <w:p>
      <w:pPr>
        <w:numPr>
          <w:numId w:val="317"/>
        </w:numPr>
        <w:spacing w:before="120" w:after="120" w:line="288" w:lineRule="auto"/>
        <w:ind w:left="0"/>
        <w:jc w:val="left"/>
      </w:pPr>
      <w:r>
        <w:rPr>
          <w:rFonts w:eastAsia="等线" w:ascii="Arial" w:cs="Arial" w:hAnsi="Arial"/>
          <w:sz w:val="22"/>
        </w:rPr>
        <w:t xml:space="preserve"> 公辅 </w:t>
      </w:r>
    </w:p>
    <w:p>
      <w:pPr>
        <w:spacing w:before="120" w:after="120" w:line="288" w:lineRule="auto"/>
        <w:ind w:left="0"/>
        <w:jc w:val="left"/>
      </w:pPr>
      <w:r>
        <w:rPr>
          <w:rFonts w:eastAsia="等线" w:ascii="Arial" w:cs="Arial" w:hAnsi="Arial"/>
          <w:sz w:val="22"/>
        </w:rPr>
        <w:t>右边是排放：</w:t>
      </w:r>
    </w:p>
    <w:p>
      <w:pPr>
        <w:numPr>
          <w:numId w:val="318"/>
        </w:numPr>
        <w:spacing w:before="120" w:after="120" w:line="288" w:lineRule="auto"/>
        <w:ind w:left="0"/>
        <w:jc w:val="left"/>
      </w:pPr>
      <w:r>
        <w:rPr>
          <w:rFonts w:eastAsia="等线" w:ascii="Arial" w:cs="Arial" w:hAnsi="Arial"/>
          <w:sz w:val="22"/>
        </w:rPr>
        <w:t xml:space="preserve"> Scope 1 </w:t>
      </w:r>
    </w:p>
    <w:p>
      <w:pPr>
        <w:numPr>
          <w:numId w:val="319"/>
        </w:numPr>
        <w:spacing w:before="120" w:after="120" w:line="288" w:lineRule="auto"/>
        <w:ind w:left="0"/>
        <w:jc w:val="left"/>
      </w:pPr>
      <w:r>
        <w:rPr>
          <w:rFonts w:eastAsia="等线" w:ascii="Arial" w:cs="Arial" w:hAnsi="Arial"/>
          <w:sz w:val="22"/>
        </w:rPr>
        <w:t xml:space="preserve"> Scope 2 </w:t>
      </w:r>
    </w:p>
    <w:p>
      <w:pPr>
        <w:numPr>
          <w:numId w:val="320"/>
        </w:numPr>
        <w:spacing w:before="120" w:after="120" w:line="288" w:lineRule="auto"/>
        <w:ind w:left="0"/>
        <w:jc w:val="left"/>
      </w:pPr>
      <w:r>
        <w:rPr>
          <w:rFonts w:eastAsia="等线" w:ascii="Arial" w:cs="Arial" w:hAnsi="Arial"/>
          <w:sz w:val="22"/>
        </w:rPr>
        <w:t xml:space="preserve"> Scope 3 Cat.3 </w:t>
      </w:r>
    </w:p>
    <w:p>
      <w:pPr>
        <w:spacing w:before="120" w:after="120" w:line="288" w:lineRule="auto"/>
        <w:ind w:left="0"/>
        <w:jc w:val="left"/>
      </w:pPr>
      <w:r>
        <w:rPr>
          <w:rFonts w:eastAsia="等线" w:ascii="Arial" w:cs="Arial" w:hAnsi="Arial"/>
          <w:sz w:val="22"/>
        </w:rPr>
        <w:t>它可以非常直观地展示：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能源流向哪里，碳排在哪里产生。</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2）车间热力图</w:t>
      </w:r>
    </w:p>
    <w:p>
      <w:pPr>
        <w:spacing w:before="120" w:after="120" w:line="288" w:lineRule="auto"/>
        <w:ind w:left="0"/>
        <w:jc w:val="left"/>
      </w:pPr>
      <w:r>
        <w:rPr>
          <w:rFonts w:eastAsia="等线" w:ascii="Arial" w:cs="Arial" w:hAnsi="Arial"/>
          <w:sz w:val="22"/>
        </w:rPr>
        <w:t>横轴是月份，纵轴是车间/产线，颜色表示：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kgCO₂e/辆</w:t>
              <w:br/>
              <w:t xml:space="preserve"> 或 kWh/辆</w:t>
              <w:br/>
            </w:r>
            <w:r>
              <w:rPr>
                <w:rFonts w:eastAsia="等线" w:ascii="Arial" w:cs="Arial" w:hAnsi="Arial"/>
                <w:color w:val="646a73"/>
                <w:sz w:val="22"/>
              </w:rPr>
              <w:t xml:space="preserve"> 或 m³天然气/辆</w:t>
            </w:r>
          </w:p>
        </w:tc>
      </w:tr>
    </w:tbl>
    <w:p>
      <w:pPr>
        <w:spacing w:before="120" w:after="120" w:line="288" w:lineRule="auto"/>
        <w:ind w:left="0"/>
        <w:jc w:val="left"/>
      </w:pPr>
      <w:r>
        <w:rPr>
          <w:rFonts w:eastAsia="等线" w:ascii="Arial" w:cs="Arial" w:hAnsi="Arial"/>
          <w:sz w:val="22"/>
        </w:rPr>
        <w:t>一眼看出：</w:t>
      </w:r>
    </w:p>
    <w:p>
      <w:pPr>
        <w:numPr>
          <w:numId w:val="321"/>
        </w:numPr>
        <w:spacing w:before="120" w:after="120" w:line="288" w:lineRule="auto"/>
        <w:ind w:left="0"/>
        <w:jc w:val="left"/>
      </w:pPr>
      <w:r>
        <w:rPr>
          <w:rFonts w:eastAsia="等线" w:ascii="Arial" w:cs="Arial" w:hAnsi="Arial"/>
          <w:sz w:val="22"/>
        </w:rPr>
        <w:t xml:space="preserve"> 哪条产线异常； </w:t>
      </w:r>
    </w:p>
    <w:p>
      <w:pPr>
        <w:numPr>
          <w:numId w:val="322"/>
        </w:numPr>
        <w:spacing w:before="120" w:after="120" w:line="288" w:lineRule="auto"/>
        <w:ind w:left="0"/>
        <w:jc w:val="left"/>
      </w:pPr>
      <w:r>
        <w:rPr>
          <w:rFonts w:eastAsia="等线" w:ascii="Arial" w:cs="Arial" w:hAnsi="Arial"/>
          <w:sz w:val="22"/>
        </w:rPr>
        <w:t xml:space="preserve"> 哪个月异常； </w:t>
      </w:r>
    </w:p>
    <w:p>
      <w:pPr>
        <w:numPr>
          <w:numId w:val="323"/>
        </w:numPr>
        <w:spacing w:before="120" w:after="120" w:line="288" w:lineRule="auto"/>
        <w:ind w:left="0"/>
        <w:jc w:val="left"/>
      </w:pPr>
      <w:r>
        <w:rPr>
          <w:rFonts w:eastAsia="等线" w:ascii="Arial" w:cs="Arial" w:hAnsi="Arial"/>
          <w:sz w:val="22"/>
        </w:rPr>
        <w:t xml:space="preserve"> 哪个车间持续偏高。 </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3）工艺段单位碳排排行</w:t>
      </w:r>
    </w:p>
    <w:p>
      <w:pPr>
        <w:spacing w:before="120" w:after="120" w:line="288" w:lineRule="auto"/>
        <w:ind w:left="0"/>
      </w:pPr>
      <w:r>
        <w:object>
          <v:shape id="_x0000_i1102" style="width:414pt;height:90pt;mso-width-percent:0;mso-height-percent:0;mso-width-percent:0;mso-height-percent:0" type="#_x0000_t75" o:ole="">
            <v:imagedata r:id="rId163" o:title=""/>
          </v:shape>
          <o:OLEObject DrawAspect="Icon" ObjectID="_1718471296" ProgID="Excel.Sheet.12" ShapeID="_x0000_i1102" Type="Embed" r:id="rId162"/>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这个看板要直接告诉管理者：</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优先优化涂装还是空压站？</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6" w:id="126"/>
      <w:r>
        <w:rPr>
          <w:rFonts w:eastAsia="等线" w:ascii="Arial" w:cs="Arial" w:hAnsi="Arial"/>
          <w:b w:val="true"/>
          <w:sz w:val="30"/>
        </w:rPr>
        <w:t>看板四：材料/BOM 碳热点看板</w:t>
      </w:r>
      <w:bookmarkEnd w:id="126"/>
    </w:p>
    <w:p>
      <w:pPr>
        <w:spacing w:before="120" w:after="120" w:line="288" w:lineRule="auto"/>
        <w:ind w:left="0"/>
        <w:jc w:val="left"/>
      </w:pPr>
      <w:r>
        <w:rPr>
          <w:rFonts w:eastAsia="等线" w:ascii="Arial" w:cs="Arial" w:hAnsi="Arial"/>
          <w:sz w:val="22"/>
        </w:rPr>
        <w:t>适合采购、研发、供应链。</w:t>
      </w:r>
    </w:p>
    <w:p>
      <w:pPr>
        <w:spacing w:before="120" w:after="120" w:line="288" w:lineRule="auto"/>
        <w:ind w:left="0"/>
        <w:jc w:val="left"/>
      </w:pPr>
      <w:r>
        <w:rPr>
          <w:rFonts w:eastAsia="等线" w:ascii="Arial" w:cs="Arial" w:hAnsi="Arial"/>
          <w:sz w:val="22"/>
        </w:rPr>
        <w:t>推荐图表：</w:t>
      </w:r>
    </w:p>
    <w:p>
      <w:pPr>
        <w:spacing w:before="120" w:after="120" w:line="288" w:lineRule="auto"/>
        <w:ind w:left="0"/>
        <w:jc w:val="left"/>
      </w:pPr>
      <w:r>
        <w:rPr>
          <w:rFonts w:eastAsia="等线" w:ascii="Arial" w:cs="Arial" w:hAnsi="Arial"/>
          <w:b w:val="true"/>
          <w:sz w:val="22"/>
        </w:rPr>
        <w:t>1）BOM 碳排树</w:t>
      </w:r>
    </w:p>
    <w:p>
      <w:pPr>
        <w:spacing w:before="120" w:after="120" w:line="288" w:lineRule="auto"/>
        <w:ind w:left="0"/>
        <w:jc w:val="left"/>
      </w:pPr>
      <w:r>
        <w:rPr>
          <w:rFonts w:eastAsia="等线" w:ascii="Arial" w:cs="Arial" w:hAnsi="Arial"/>
          <w:sz w:val="22"/>
        </w:rPr>
        <w:t>按层级展示：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整车</w:t>
              <w:br/>
              <w:t xml:space="preserve"> ├── 车身</w:t>
              <w:br/>
              <w:t xml:space="preserve"> ├── 电池系统</w:t>
              <w:br/>
              <w:t xml:space="preserve"> ├── 底盘</w:t>
              <w:br/>
              <w:t xml:space="preserve"> ├── 内饰</w:t>
              <w:br/>
              <w:t xml:space="preserve"> ├── 电子电气</w:t>
              <w:br/>
            </w:r>
            <w:r>
              <w:rPr>
                <w:rFonts w:eastAsia="等线" w:ascii="Arial" w:cs="Arial" w:hAnsi="Arial"/>
                <w:color w:val="646a73"/>
                <w:sz w:val="22"/>
              </w:rPr>
              <w:t xml:space="preserve"> └── 玻璃/轮胎/其他</w:t>
            </w:r>
          </w:p>
        </w:tc>
      </w:tr>
    </w:tbl>
    <w:p>
      <w:pPr>
        <w:spacing w:before="120" w:after="120" w:line="288" w:lineRule="auto"/>
        <w:ind w:left="0"/>
        <w:jc w:val="left"/>
      </w:pPr>
      <w:r>
        <w:rPr>
          <w:rFonts w:eastAsia="等线" w:ascii="Arial" w:cs="Arial" w:hAnsi="Arial"/>
          <w:sz w:val="22"/>
        </w:rPr>
        <w:t>每一层显示：</w:t>
      </w:r>
    </w:p>
    <w:p>
      <w:pPr>
        <w:numPr>
          <w:numId w:val="324"/>
        </w:numPr>
        <w:spacing w:before="120" w:after="120" w:line="288" w:lineRule="auto"/>
        <w:ind w:left="0"/>
        <w:jc w:val="left"/>
      </w:pPr>
      <w:r>
        <w:rPr>
          <w:rFonts w:eastAsia="等线" w:ascii="Arial" w:cs="Arial" w:hAnsi="Arial"/>
          <w:sz w:val="22"/>
        </w:rPr>
        <w:t xml:space="preserve"> 重量占比； </w:t>
      </w:r>
    </w:p>
    <w:p>
      <w:pPr>
        <w:numPr>
          <w:numId w:val="325"/>
        </w:numPr>
        <w:spacing w:before="120" w:after="120" w:line="288" w:lineRule="auto"/>
        <w:ind w:left="0"/>
        <w:jc w:val="left"/>
      </w:pPr>
      <w:r>
        <w:rPr>
          <w:rFonts w:eastAsia="等线" w:ascii="Arial" w:cs="Arial" w:hAnsi="Arial"/>
          <w:sz w:val="22"/>
        </w:rPr>
        <w:t xml:space="preserve"> 碳排占比； </w:t>
      </w:r>
    </w:p>
    <w:p>
      <w:pPr>
        <w:numPr>
          <w:numId w:val="326"/>
        </w:numPr>
        <w:spacing w:before="120" w:after="120" w:line="288" w:lineRule="auto"/>
        <w:ind w:left="0"/>
        <w:jc w:val="left"/>
      </w:pPr>
      <w:r>
        <w:rPr>
          <w:rFonts w:eastAsia="等线" w:ascii="Arial" w:cs="Arial" w:hAnsi="Arial"/>
          <w:sz w:val="22"/>
        </w:rPr>
        <w:t xml:space="preserve"> 单位碳强度； </w:t>
      </w:r>
    </w:p>
    <w:p>
      <w:pPr>
        <w:numPr>
          <w:numId w:val="327"/>
        </w:numPr>
        <w:spacing w:before="120" w:after="120" w:line="288" w:lineRule="auto"/>
        <w:ind w:left="0"/>
        <w:jc w:val="left"/>
      </w:pPr>
      <w:r>
        <w:rPr>
          <w:rFonts w:eastAsia="等线" w:ascii="Arial" w:cs="Arial" w:hAnsi="Arial"/>
          <w:sz w:val="22"/>
        </w:rPr>
        <w:t xml:space="preserve"> 供应商数据质量。 </w:t>
      </w:r>
    </w:p>
    <w:p>
      <w:pPr>
        <w:spacing w:before="120" w:after="120" w:line="288" w:lineRule="auto"/>
        <w:ind w:left="0"/>
        <w:jc w:val="left"/>
      </w:pPr>
      <w:r>
        <w:rPr>
          <w:rFonts w:eastAsia="等线" w:ascii="Arial" w:cs="Arial" w:hAnsi="Arial"/>
          <w:sz w:val="22"/>
        </w:rPr>
        <w:t>这样能发现：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某个部件重量占比不高，但碳排占比很高。</w:t>
            </w:r>
          </w:p>
        </w:tc>
      </w:tr>
    </w:tbl>
    <w:p>
      <w:pPr>
        <w:spacing w:before="120" w:after="120" w:line="288" w:lineRule="auto"/>
        <w:ind w:left="0"/>
        <w:jc w:val="left"/>
      </w:pPr>
      <w:r>
        <w:rPr>
          <w:rFonts w:eastAsia="等线" w:ascii="Arial" w:cs="Arial" w:hAnsi="Arial"/>
          <w:sz w:val="22"/>
        </w:rPr>
        <w:t>比如电池、铝件、电子件。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2）材料碳强度矩阵</w:t>
      </w:r>
    </w:p>
    <w:p>
      <w:pPr>
        <w:spacing w:before="120" w:after="120" w:line="288" w:lineRule="auto"/>
        <w:ind w:left="0"/>
        <w:jc w:val="left"/>
      </w:pPr>
      <w:r>
        <w:rPr>
          <w:rFonts w:eastAsia="等线" w:ascii="Arial" w:cs="Arial" w:hAnsi="Arial"/>
          <w:sz w:val="22"/>
        </w:rPr>
        <w:t>横轴：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材料用量 kg/辆</w:t>
            </w:r>
          </w:p>
        </w:tc>
      </w:tr>
    </w:tbl>
    <w:p>
      <w:pPr>
        <w:spacing w:before="120" w:after="120" w:line="288" w:lineRule="auto"/>
        <w:ind w:left="0"/>
        <w:jc w:val="left"/>
      </w:pPr>
      <w:r>
        <w:rPr>
          <w:rFonts w:eastAsia="等线" w:ascii="Arial" w:cs="Arial" w:hAnsi="Arial"/>
          <w:sz w:val="22"/>
        </w:rPr>
        <w:t>纵轴：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排放因子 kgCO₂e/kg</w:t>
            </w:r>
          </w:p>
        </w:tc>
      </w:tr>
    </w:tbl>
    <w:p>
      <w:pPr>
        <w:spacing w:before="120" w:after="120" w:line="288" w:lineRule="auto"/>
        <w:ind w:left="0"/>
        <w:jc w:val="left"/>
      </w:pPr>
      <w:r>
        <w:rPr>
          <w:rFonts w:eastAsia="等线" w:ascii="Arial" w:cs="Arial" w:hAnsi="Arial"/>
          <w:sz w:val="22"/>
        </w:rPr>
        <w:t>气泡大小：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总碳排贡献</w:t>
            </w:r>
          </w:p>
        </w:tc>
      </w:tr>
    </w:tbl>
    <w:p>
      <w:pPr>
        <w:spacing w:before="120" w:after="120" w:line="288" w:lineRule="auto"/>
        <w:ind w:left="0"/>
        <w:jc w:val="left"/>
      </w:pPr>
      <w:r>
        <w:rPr>
          <w:rFonts w:eastAsia="等线" w:ascii="Arial" w:cs="Arial" w:hAnsi="Arial"/>
          <w:sz w:val="22"/>
        </w:rPr>
        <w:t>这张图能很直观地找出：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高用量 + 高因子 = 优先降碳对象。</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3）供应商 PCF 排名</w:t>
      </w:r>
    </w:p>
    <w:p>
      <w:pPr>
        <w:spacing w:before="120" w:after="120" w:line="288" w:lineRule="auto"/>
        <w:ind w:left="0"/>
      </w:pPr>
      <w:r>
        <w:object>
          <v:shape id="_x0000_i1103" style="width:414pt;height:18pt;mso-width-percent:0;mso-height-percent:0;mso-width-percent:0;mso-height-percent:0" type="#_x0000_t75" o:ole="">
            <v:imagedata r:id="rId165" o:title=""/>
          </v:shape>
          <o:OLEObject DrawAspect="Icon" ObjectID="_1718471297" ProgID="Excel.Sheet.12" ShapeID="_x0000_i1103" Type="Embed" r:id="rId16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用于推动供应商降碳。</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7" w:id="127"/>
      <w:r>
        <w:rPr>
          <w:rFonts w:eastAsia="等线" w:ascii="Arial" w:cs="Arial" w:hAnsi="Arial"/>
          <w:b w:val="true"/>
          <w:sz w:val="30"/>
        </w:rPr>
        <w:t>看板五：质量损失碳看板</w:t>
      </w:r>
      <w:bookmarkEnd w:id="127"/>
    </w:p>
    <w:p>
      <w:pPr>
        <w:spacing w:before="120" w:after="120" w:line="288" w:lineRule="auto"/>
        <w:ind w:left="0"/>
        <w:jc w:val="left"/>
      </w:pPr>
      <w:r>
        <w:rPr>
          <w:rFonts w:eastAsia="等线" w:ascii="Arial" w:cs="Arial" w:hAnsi="Arial"/>
          <w:sz w:val="22"/>
        </w:rPr>
        <w:t>这是我强烈建议你们做的亮点。</w:t>
      </w:r>
    </w:p>
    <w:p>
      <w:pPr>
        <w:spacing w:before="120" w:after="120" w:line="288" w:lineRule="auto"/>
        <w:ind w:left="0"/>
        <w:jc w:val="left"/>
      </w:pPr>
      <w:r>
        <w:rPr>
          <w:rFonts w:eastAsia="等线" w:ascii="Arial" w:cs="Arial" w:hAnsi="Arial"/>
          <w:sz w:val="22"/>
        </w:rPr>
        <w:t>推荐图表：</w:t>
      </w:r>
    </w:p>
    <w:p>
      <w:pPr>
        <w:spacing w:before="120" w:after="120" w:line="288" w:lineRule="auto"/>
        <w:ind w:left="0"/>
        <w:jc w:val="left"/>
      </w:pPr>
      <w:r>
        <w:rPr>
          <w:rFonts w:eastAsia="等线" w:ascii="Arial" w:cs="Arial" w:hAnsi="Arial"/>
          <w:b w:val="true"/>
          <w:sz w:val="22"/>
        </w:rPr>
        <w:t>1）良率 vs 单车 PCF 双轴图</w:t>
      </w:r>
    </w:p>
    <w:p>
      <w:pPr>
        <w:spacing w:before="120" w:after="120" w:line="288" w:lineRule="auto"/>
        <w:ind w:left="0"/>
        <w:jc w:val="left"/>
      </w:pPr>
      <w:r>
        <w:rPr>
          <w:rFonts w:eastAsia="等线" w:ascii="Arial" w:cs="Arial" w:hAnsi="Arial"/>
          <w:sz w:val="22"/>
        </w:rPr>
        <w:t>横轴：月份</w:t>
      </w:r>
    </w:p>
    <w:p>
      <w:pPr>
        <w:spacing w:before="120" w:after="120" w:line="288" w:lineRule="auto"/>
        <w:ind w:left="0"/>
        <w:jc w:val="left"/>
      </w:pPr>
      <w:r>
        <w:rPr>
          <w:rFonts w:eastAsia="等线" w:ascii="Arial" w:cs="Arial" w:hAnsi="Arial"/>
          <w:sz w:val="22"/>
        </w:rPr>
        <w:t xml:space="preserve"> 左轴：一次合格率</w:t>
      </w:r>
    </w:p>
    <w:p>
      <w:pPr>
        <w:spacing w:before="120" w:after="120" w:line="288" w:lineRule="auto"/>
        <w:ind w:left="0"/>
        <w:jc w:val="left"/>
      </w:pPr>
      <w:r>
        <w:rPr>
          <w:rFonts w:eastAsia="等线" w:ascii="Arial" w:cs="Arial" w:hAnsi="Arial"/>
          <w:sz w:val="22"/>
        </w:rPr>
        <w:t xml:space="preserve"> 右轴：单车 PCF</w:t>
      </w:r>
    </w:p>
    <w:p>
      <w:pPr>
        <w:spacing w:before="120" w:after="120" w:line="288" w:lineRule="auto"/>
        <w:ind w:left="0"/>
        <w:jc w:val="left"/>
      </w:pPr>
      <w:r>
        <w:rPr>
          <w:rFonts w:eastAsia="等线" w:ascii="Arial" w:cs="Arial" w:hAnsi="Arial"/>
          <w:sz w:val="22"/>
        </w:rPr>
        <w:t>你会看到：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良率下降时，单车 PCF 往往上升。</w:t>
            </w:r>
          </w:p>
        </w:tc>
      </w:tr>
    </w:tbl>
    <w:p>
      <w:pPr>
        <w:spacing w:before="120" w:after="120" w:line="288" w:lineRule="auto"/>
        <w:ind w:left="0"/>
        <w:jc w:val="left"/>
      </w:pPr>
      <w:r>
        <w:rPr>
          <w:rFonts w:eastAsia="等线" w:ascii="Arial" w:cs="Arial" w:hAnsi="Arial"/>
          <w:sz w:val="22"/>
        </w:rPr>
        <w:t>这能把质量部门和碳管理连接起来。</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2）返修碳排拆解</w:t>
      </w:r>
    </w:p>
    <w:p>
      <w:pPr>
        <w:spacing w:before="120" w:after="120" w:line="288" w:lineRule="auto"/>
        <w:ind w:left="0"/>
        <w:jc w:val="left"/>
      </w:pPr>
      <w:r>
        <w:rPr>
          <w:rFonts w:eastAsia="等线" w:ascii="Arial" w:cs="Arial" w:hAnsi="Arial"/>
          <w:sz w:val="22"/>
        </w:rPr>
        <w:t>展示返修造成的额外排放：</w:t>
      </w:r>
    </w:p>
    <w:p>
      <w:pPr>
        <w:numPr>
          <w:numId w:val="328"/>
        </w:numPr>
        <w:spacing w:before="120" w:after="120" w:line="288" w:lineRule="auto"/>
        <w:ind w:left="0"/>
        <w:jc w:val="left"/>
      </w:pPr>
      <w:r>
        <w:rPr>
          <w:rFonts w:eastAsia="等线" w:ascii="Arial" w:cs="Arial" w:hAnsi="Arial"/>
          <w:sz w:val="22"/>
        </w:rPr>
        <w:t xml:space="preserve"> 重喷天然气； </w:t>
      </w:r>
    </w:p>
    <w:p>
      <w:pPr>
        <w:numPr>
          <w:numId w:val="329"/>
        </w:numPr>
        <w:spacing w:before="120" w:after="120" w:line="288" w:lineRule="auto"/>
        <w:ind w:left="0"/>
        <w:jc w:val="left"/>
      </w:pPr>
      <w:r>
        <w:rPr>
          <w:rFonts w:eastAsia="等线" w:ascii="Arial" w:cs="Arial" w:hAnsi="Arial"/>
          <w:sz w:val="22"/>
        </w:rPr>
        <w:t xml:space="preserve"> 返修用电； </w:t>
      </w:r>
    </w:p>
    <w:p>
      <w:pPr>
        <w:numPr>
          <w:numId w:val="330"/>
        </w:numPr>
        <w:spacing w:before="120" w:after="120" w:line="288" w:lineRule="auto"/>
        <w:ind w:left="0"/>
        <w:jc w:val="left"/>
      </w:pPr>
      <w:r>
        <w:rPr>
          <w:rFonts w:eastAsia="等线" w:ascii="Arial" w:cs="Arial" w:hAnsi="Arial"/>
          <w:sz w:val="22"/>
        </w:rPr>
        <w:t xml:space="preserve"> 更换零件； </w:t>
      </w:r>
    </w:p>
    <w:p>
      <w:pPr>
        <w:numPr>
          <w:numId w:val="331"/>
        </w:numPr>
        <w:spacing w:before="120" w:after="120" w:line="288" w:lineRule="auto"/>
        <w:ind w:left="0"/>
        <w:jc w:val="left"/>
      </w:pPr>
      <w:r>
        <w:rPr>
          <w:rFonts w:eastAsia="等线" w:ascii="Arial" w:cs="Arial" w:hAnsi="Arial"/>
          <w:sz w:val="22"/>
        </w:rPr>
        <w:t xml:space="preserve"> 重复检测； </w:t>
      </w:r>
    </w:p>
    <w:p>
      <w:pPr>
        <w:numPr>
          <w:numId w:val="332"/>
        </w:numPr>
        <w:spacing w:before="120" w:after="120" w:line="288" w:lineRule="auto"/>
        <w:ind w:left="0"/>
        <w:jc w:val="left"/>
      </w:pPr>
      <w:r>
        <w:rPr>
          <w:rFonts w:eastAsia="等线" w:ascii="Arial" w:cs="Arial" w:hAnsi="Arial"/>
          <w:sz w:val="22"/>
        </w:rPr>
        <w:t xml:space="preserve"> 报废材料； </w:t>
      </w:r>
    </w:p>
    <w:p>
      <w:pPr>
        <w:numPr>
          <w:numId w:val="333"/>
        </w:numPr>
        <w:spacing w:before="120" w:after="120" w:line="288" w:lineRule="auto"/>
        <w:ind w:left="0"/>
        <w:jc w:val="left"/>
      </w:pPr>
      <w:r>
        <w:rPr>
          <w:rFonts w:eastAsia="等线" w:ascii="Arial" w:cs="Arial" w:hAnsi="Arial"/>
          <w:sz w:val="22"/>
        </w:rPr>
        <w:t xml:space="preserve"> 废弃物处理。 </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3）报废碳损失金额化</w:t>
      </w:r>
    </w:p>
    <w:p>
      <w:pPr>
        <w:spacing w:before="120" w:after="120" w:line="288" w:lineRule="auto"/>
        <w:ind w:left="0"/>
        <w:jc w:val="left"/>
      </w:pPr>
      <w:r>
        <w:rPr>
          <w:rFonts w:eastAsia="等线" w:ascii="Arial" w:cs="Arial" w:hAnsi="Arial"/>
          <w:sz w:val="22"/>
        </w:rPr>
        <w:t>把报废碳排转成：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tCO₂e</w:t>
              <w:br/>
              <w:t xml:space="preserve"> kgCO₂e/辆</w:t>
              <w:br/>
              <w:t xml:space="preserve"> 碳成本</w:t>
              <w:br/>
              <w:t xml:space="preserve"> 材料损失</w:t>
              <w:br/>
            </w:r>
            <w:r>
              <w:rPr>
                <w:rFonts w:eastAsia="等线" w:ascii="Arial" w:cs="Arial" w:hAnsi="Arial"/>
                <w:color w:val="646a73"/>
                <w:sz w:val="22"/>
              </w:rPr>
              <w:t xml:space="preserve"> 能源损失</w:t>
            </w:r>
          </w:p>
        </w:tc>
      </w:tr>
    </w:tbl>
    <w:p>
      <w:pPr>
        <w:spacing w:before="120" w:after="120" w:line="288" w:lineRule="auto"/>
        <w:ind w:left="0"/>
        <w:jc w:val="left"/>
      </w:pPr>
      <w:r>
        <w:rPr>
          <w:rFonts w:eastAsia="等线" w:ascii="Arial" w:cs="Arial" w:hAnsi="Arial"/>
          <w:sz w:val="22"/>
        </w:rPr>
        <w:t>这样管理层更容易理解。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8" w:id="128"/>
      <w:r>
        <w:rPr>
          <w:rFonts w:eastAsia="等线" w:ascii="Arial" w:cs="Arial" w:hAnsi="Arial"/>
          <w:b w:val="true"/>
          <w:sz w:val="30"/>
        </w:rPr>
        <w:t>看板六：减排情景模拟看板</w:t>
      </w:r>
      <w:bookmarkEnd w:id="128"/>
    </w:p>
    <w:p>
      <w:pPr>
        <w:spacing w:before="120" w:after="120" w:line="288" w:lineRule="auto"/>
        <w:ind w:left="0"/>
        <w:jc w:val="left"/>
      </w:pPr>
      <w:r>
        <w:rPr>
          <w:rFonts w:eastAsia="等线" w:ascii="Arial" w:cs="Arial" w:hAnsi="Arial"/>
          <w:sz w:val="22"/>
        </w:rPr>
        <w:t>适合管理层决策。</w:t>
      </w:r>
    </w:p>
    <w:p>
      <w:pPr>
        <w:spacing w:before="120" w:after="120" w:line="288" w:lineRule="auto"/>
        <w:ind w:left="0"/>
        <w:jc w:val="left"/>
      </w:pPr>
      <w:r>
        <w:rPr>
          <w:rFonts w:eastAsia="等线" w:ascii="Arial" w:cs="Arial" w:hAnsi="Arial"/>
          <w:sz w:val="22"/>
        </w:rPr>
        <w:t>比如设置几个方案：</w:t>
      </w:r>
    </w:p>
    <w:p>
      <w:pPr>
        <w:spacing w:before="120" w:after="120" w:line="288" w:lineRule="auto"/>
        <w:ind w:left="0"/>
      </w:pPr>
      <w:r>
        <w:object>
          <v:shape id="_x0000_i1104" style="width:414pt;height:109pt;mso-width-percent:0;mso-height-percent:0;mso-width-percent:0;mso-height-percent:0" type="#_x0000_t75" o:ole="">
            <v:imagedata r:id="rId167" o:title=""/>
          </v:shape>
          <o:OLEObject DrawAspect="Icon" ObjectID="_1718471298" ProgID="Excel.Sheet.12" ShapeID="_x0000_i1104" Type="Embed" r:id="rId16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这个看板要回答：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下一笔钱投在哪里，减碳效果最好？</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9" w:id="129"/>
      <w:r>
        <w:rPr>
          <w:rFonts w:eastAsia="等线" w:ascii="Arial" w:cs="Arial" w:hAnsi="Arial"/>
          <w:color w:val="3370ff"/>
          <w:sz w:val="32"/>
        </w:rPr>
        <w:t xml:space="preserve">6. </w:t>
      </w:r>
      <w:r>
        <w:rPr>
          <w:rFonts w:eastAsia="等线" w:ascii="Arial" w:cs="Arial" w:hAnsi="Arial"/>
          <w:b w:val="true"/>
          <w:sz w:val="32"/>
        </w:rPr>
        <w:t>平台最终的数据展示结构</w:t>
      </w:r>
      <w:bookmarkEnd w:id="129"/>
    </w:p>
    <w:p>
      <w:pPr>
        <w:spacing w:before="120" w:after="120" w:line="288" w:lineRule="auto"/>
        <w:ind w:left="0"/>
        <w:jc w:val="left"/>
      </w:pPr>
      <w:r>
        <w:rPr>
          <w:rFonts w:eastAsia="等线" w:ascii="Arial" w:cs="Arial" w:hAnsi="Arial"/>
          <w:sz w:val="22"/>
        </w:rPr>
        <w:t>我建议你们产品菜单可以这样设计：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绿色工厂驾驶舱</w:t>
              <w:br/>
              <w:t xml:space="preserve">   - 工厂总排放</w:t>
              <w:br/>
              <w:t xml:space="preserve">   - 单车 PCF</w:t>
              <w:br/>
              <w:t xml:space="preserve">   - 能源结构</w:t>
              <w:br/>
              <w:t xml:space="preserve">   - 绿色工厂目标进度</w:t>
              <w:br/>
              <w:t xml:space="preserve">   - 月度趋势</w:t>
              <w:br/>
              <w:br/>
              <w:t>2. 组织碳盘查</w:t>
              <w:br/>
              <w:t xml:space="preserve">   - Scope 1</w:t>
              <w:br/>
              <w:t xml:space="preserve">   - Scope 2</w:t>
              <w:br/>
              <w:t xml:space="preserve">   - Scope 3</w:t>
              <w:br/>
              <w:t xml:space="preserve">   - 排放源明细</w:t>
              <w:br/>
              <w:t xml:space="preserve">   - 审查底稿</w:t>
              <w:br/>
              <w:br/>
              <w:t>3. 整车 PCF / LCA</w:t>
              <w:br/>
              <w:t xml:space="preserve">   - 车型 PCF</w:t>
              <w:br/>
              <w:t xml:space="preserve">   - 生命周期拆解</w:t>
              <w:br/>
              <w:t xml:space="preserve">   - BEV vs ICE</w:t>
              <w:br/>
              <w:t xml:space="preserve">   - 配置差异</w:t>
              <w:br/>
              <w:t xml:space="preserve">   - 热点分析</w:t>
              <w:br/>
              <w:br/>
              <w:t>4. 工艺能碳分析</w:t>
              <w:br/>
              <w:t xml:space="preserve">   - 冲压</w:t>
              <w:br/>
              <w:t xml:space="preserve">   - 焊装</w:t>
              <w:br/>
              <w:t xml:space="preserve">   - 涂装</w:t>
              <w:br/>
              <w:t xml:space="preserve">   - 总装</w:t>
              <w:br/>
              <w:t xml:space="preserve">   - 检测</w:t>
              <w:br/>
              <w:t xml:space="preserve">   - 公辅系统</w:t>
              <w:br/>
              <w:br/>
              <w:t>5. 产线对标</w:t>
              <w:br/>
              <w:t xml:space="preserve">   - Line A / B / C</w:t>
              <w:br/>
              <w:t xml:space="preserve">   - 单车能耗</w:t>
              <w:br/>
              <w:t xml:space="preserve">   - 单车碳排</w:t>
              <w:br/>
              <w:t xml:space="preserve">   - 班次分析</w:t>
              <w:br/>
              <w:t xml:space="preserve">   - 异常分析</w:t>
              <w:br/>
              <w:br/>
              <w:t>6. BOM / 供应链碳</w:t>
              <w:br/>
              <w:t xml:space="preserve">   - 材料碳排</w:t>
              <w:br/>
              <w:t xml:space="preserve">   - 零部件 PCF</w:t>
              <w:br/>
              <w:t xml:space="preserve">   - 供应商数据质量</w:t>
              <w:br/>
              <w:t xml:space="preserve">   - 低碳材料替代</w:t>
              <w:br/>
              <w:br/>
              <w:t>7. 物流与废弃物</w:t>
              <w:br/>
              <w:t xml:space="preserve">   - 入厂物流</w:t>
              <w:br/>
              <w:t xml:space="preserve">   - 出厂物流</w:t>
              <w:br/>
              <w:t xml:space="preserve">   - 废弃物处理</w:t>
              <w:br/>
              <w:t xml:space="preserve">   - 回收率</w:t>
              <w:br/>
              <w:br/>
              <w:t>8. 质量损失碳</w:t>
              <w:br/>
              <w:t xml:space="preserve">   - 良率</w:t>
              <w:br/>
              <w:t xml:space="preserve">   - 返修</w:t>
              <w:br/>
              <w:t xml:space="preserve">   - 报废</w:t>
              <w:br/>
              <w:t xml:space="preserve">   - 碳损失</w:t>
              <w:br/>
              <w:br/>
              <w:t>9. 减排项目管理</w:t>
              <w:br/>
              <w:t xml:space="preserve">   - 项目台账</w:t>
              <w:br/>
              <w:t xml:space="preserve">   - 预期减排</w:t>
              <w:br/>
              <w:t xml:space="preserve">   - 实际减排</w:t>
              <w:br/>
              <w:t xml:space="preserve">   - ROI</w:t>
              <w:br/>
              <w:t xml:space="preserve">   - 情景模拟</w:t>
              <w:br/>
              <w:br/>
              <w:t>10. 报告与审查</w:t>
              <w:br/>
              <w:t xml:space="preserve">   - 绿色工厂报告</w:t>
              <w:br/>
              <w:t xml:space="preserve">   - OEM 客户报告</w:t>
              <w:br/>
              <w:t xml:space="preserve">   - PCF 报告</w:t>
              <w:br/>
            </w:r>
            <w:r>
              <w:rPr>
                <w:rFonts w:eastAsia="Consolas" w:ascii="Consolas" w:cs="Consolas" w:hAnsi="Consolas"/>
                <w:sz w:val="22"/>
              </w:rPr>
              <w:t xml:space="preserve">   - 第三方核查包</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0" w:id="130"/>
      <w:r>
        <w:rPr>
          <w:rFonts w:eastAsia="等线" w:ascii="Arial" w:cs="Arial" w:hAnsi="Arial"/>
          <w:color w:val="3370ff"/>
          <w:sz w:val="32"/>
        </w:rPr>
        <w:t xml:space="preserve">7. </w:t>
      </w:r>
      <w:r>
        <w:rPr>
          <w:rFonts w:eastAsia="等线" w:ascii="Arial" w:cs="Arial" w:hAnsi="Arial"/>
          <w:b w:val="true"/>
          <w:sz w:val="32"/>
        </w:rPr>
        <w:t>最重要的呈现原则</w:t>
      </w:r>
      <w:bookmarkEnd w:id="130"/>
    </w:p>
    <w:p>
      <w:pPr>
        <w:spacing w:before="120" w:after="120" w:line="288" w:lineRule="auto"/>
        <w:ind w:left="0"/>
        <w:jc w:val="left"/>
      </w:pPr>
      <w:r>
        <w:rPr>
          <w:rFonts w:eastAsia="等线" w:ascii="Arial" w:cs="Arial" w:hAnsi="Arial"/>
          <w:sz w:val="22"/>
        </w:rPr>
        <w:t>你们做平台时，千万不要只做“碳排报表”。应该做到：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总量看趋势，强度看效率，拆解找热点，对标找异常，情景看优化。</w:t>
            </w:r>
          </w:p>
        </w:tc>
      </w:tr>
    </w:tbl>
    <w:p>
      <w:pPr>
        <w:spacing w:before="120" w:after="120" w:line="288" w:lineRule="auto"/>
        <w:ind w:left="0"/>
        <w:jc w:val="left"/>
      </w:pPr>
      <w:r>
        <w:rPr>
          <w:rFonts w:eastAsia="等线" w:ascii="Arial" w:cs="Arial" w:hAnsi="Arial"/>
          <w:sz w:val="22"/>
        </w:rPr>
        <w:t>对应到页面就是：</w:t>
      </w:r>
    </w:p>
    <w:p>
      <w:pPr>
        <w:spacing w:before="120" w:after="120" w:line="288" w:lineRule="auto"/>
        <w:ind w:left="0"/>
      </w:pPr>
      <w:r>
        <w:object>
          <v:shape id="_x0000_i1105" style="width:414pt;height:197pt;mso-width-percent:0;mso-height-percent:0;mso-width-percent:0;mso-height-percent:0" type="#_x0000_t75" o:ole="">
            <v:imagedata r:id="rId169" o:title=""/>
          </v:shape>
          <o:OLEObject DrawAspect="Icon" ObjectID="_1718471299" ProgID="Excel.Sheet.12" ShapeID="_x0000_i1105" Type="Embed" r:id="rId168"/>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1" w:id="131"/>
      <w:r>
        <w:rPr>
          <w:rFonts w:eastAsia="等线" w:ascii="Arial" w:cs="Arial" w:hAnsi="Arial"/>
          <w:color w:val="3370ff"/>
          <w:sz w:val="32"/>
        </w:rPr>
        <w:t xml:space="preserve">8. </w:t>
      </w:r>
      <w:r>
        <w:rPr>
          <w:rFonts w:eastAsia="等线" w:ascii="Arial" w:cs="Arial" w:hAnsi="Arial"/>
          <w:b w:val="true"/>
          <w:sz w:val="32"/>
        </w:rPr>
        <w:t>最终推荐你们的核心指标公式</w:t>
      </w:r>
      <w:bookmarkEnd w:id="131"/>
    </w:p>
    <w:p>
      <w:pPr>
        <w:spacing w:before="120" w:after="120" w:line="288" w:lineRule="auto"/>
        <w:ind w:left="0"/>
        <w:jc w:val="left"/>
      </w:pPr>
      <w:r>
        <w:rPr>
          <w:rFonts w:eastAsia="等线" w:ascii="Arial" w:cs="Arial" w:hAnsi="Arial"/>
          <w:sz w:val="22"/>
        </w:rPr>
        <w:t>可以先把这些做成平台默认指标：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工厂总排放 = Scope 1 + Scope 2 + Scope 3</w:t>
              <w:br/>
              <w:br/>
              <w:t>单车制造 PCF =</w:t>
              <w:br/>
              <w:t>材料/零部件碳排</w:t>
              <w:br/>
              <w:t>+ 入厂物流碳排</w:t>
              <w:br/>
              <w:t>+ 工厂 Scope 1 分摊</w:t>
              <w:br/>
              <w:t>+ 工厂 Scope 2 分摊</w:t>
              <w:br/>
              <w:t>+ 能源上游排放</w:t>
              <w:br/>
              <w:t>+ 生产废弃物排放</w:t>
              <w:br/>
              <w:t>+ 出厂物流碳排</w:t>
              <w:br/>
              <w:br/>
              <w:t>完整整车 PCF =</w:t>
              <w:br/>
              <w:t>单车制造 PCF</w:t>
              <w:br/>
              <w:t>+ 使用阶段碳排</w:t>
              <w:br/>
              <w:t>+ 维修维护碳排</w:t>
              <w:br/>
              <w:t>+ 报废回收碳排</w:t>
              <w:br/>
              <w:br/>
              <w:t>单车制造碳强度 =</w:t>
              <w:br/>
              <w:t>制造端相关排放 / 合格入库车辆数</w:t>
              <w:br/>
              <w:br/>
              <w:t>产线碳强度 =</w:t>
              <w:br/>
              <w:t>产线排放 / 该产线合格产量</w:t>
              <w:br/>
              <w:br/>
              <w:t>质量损失碳 =</w:t>
              <w:br/>
              <w:t>返修额外排放 + 报废产品已消耗排放 + 报废处置排放</w:t>
              <w:br/>
              <w:br/>
              <w:t>减排达成率 =</w:t>
              <w:br/>
            </w:r>
            <w:r>
              <w:rPr>
                <w:rFonts w:eastAsia="Consolas" w:ascii="Consolas" w:cs="Consolas" w:hAnsi="Consolas"/>
                <w:sz w:val="22"/>
              </w:rPr>
              <w:t>实际减排量 / 计划减排量</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2" w:id="132"/>
      <w:r>
        <w:rPr>
          <w:rFonts w:eastAsia="等线" w:ascii="Arial" w:cs="Arial" w:hAnsi="Arial"/>
          <w:color w:val="3370ff"/>
          <w:sz w:val="32"/>
        </w:rPr>
        <w:t xml:space="preserve">9. </w:t>
      </w:r>
      <w:r>
        <w:rPr>
          <w:rFonts w:eastAsia="等线" w:ascii="Arial" w:cs="Arial" w:hAnsi="Arial"/>
          <w:b w:val="true"/>
          <w:sz w:val="32"/>
        </w:rPr>
        <w:t>一句话总结</w:t>
      </w:r>
      <w:bookmarkEnd w:id="132"/>
    </w:p>
    <w:p>
      <w:pPr>
        <w:spacing w:before="120" w:after="120" w:line="288" w:lineRule="auto"/>
        <w:ind w:left="0"/>
        <w:jc w:val="left"/>
      </w:pPr>
      <w:r>
        <w:rPr>
          <w:rFonts w:eastAsia="等线" w:ascii="Arial" w:cs="Arial" w:hAnsi="Arial"/>
          <w:sz w:val="22"/>
        </w:rPr>
        <w:t>如果 Magna 的目标是通过 PCF 建设绿色工厂，那么平台最终不应该只是“算碳”，而应该是：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以整车 PCF 为主线，把工厂能耗、工艺过程、产线效率、BOM 材料、物流废弃物、质量损失和减排项目全部连接起来，让管理者清楚看到：哪辆车、哪条线、哪个工艺、哪种材料、哪个供应商、哪个质量问题，正在贡献最多碳排，以及下一步该优化哪里。</w:t>
            </w:r>
          </w:p>
        </w:tc>
      </w:tr>
    </w:tbl>
    <w:p>
      <w:pPr>
        <w:spacing w:before="120" w:after="120" w:line="288" w:lineRule="auto"/>
        <w:ind w:left="0"/>
        <w:jc w:val="left"/>
      </w:pPr>
    </w:p>
    <w:sectPr>
      <w:footerReference w:type="default" r:id="rId3"/>
      <w:headerReference w:type="default" r:id="rId17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02706">
    <w:lvl>
      <w:numFmt w:val="bullet"/>
      <w:suff w:val="tab"/>
      <w:lvlText w:val="•"/>
      <w:rPr>
        <w:color w:val="3370ff"/>
      </w:rPr>
    </w:lvl>
  </w:abstractNum>
  <w:abstractNum w:abstractNumId="1002707">
    <w:lvl>
      <w:numFmt w:val="bullet"/>
      <w:suff w:val="tab"/>
      <w:lvlText w:val="•"/>
      <w:rPr>
        <w:color w:val="3370ff"/>
      </w:rPr>
    </w:lvl>
  </w:abstractNum>
  <w:abstractNum w:abstractNumId="1002708">
    <w:lvl>
      <w:numFmt w:val="bullet"/>
      <w:suff w:val="tab"/>
      <w:lvlText w:val="•"/>
      <w:rPr>
        <w:color w:val="3370ff"/>
      </w:rPr>
    </w:lvl>
  </w:abstractNum>
  <w:abstractNum w:abstractNumId="1002709">
    <w:lvl>
      <w:numFmt w:val="bullet"/>
      <w:suff w:val="tab"/>
      <w:lvlText w:val="•"/>
      <w:rPr>
        <w:color w:val="3370ff"/>
      </w:rPr>
    </w:lvl>
  </w:abstractNum>
  <w:abstractNum w:abstractNumId="1002710">
    <w:lvl>
      <w:numFmt w:val="bullet"/>
      <w:suff w:val="tab"/>
      <w:lvlText w:val="•"/>
      <w:rPr>
        <w:color w:val="3370ff"/>
      </w:rPr>
    </w:lvl>
  </w:abstractNum>
  <w:abstractNum w:abstractNumId="1002711">
    <w:lvl>
      <w:numFmt w:val="bullet"/>
      <w:suff w:val="tab"/>
      <w:lvlText w:val="•"/>
      <w:rPr>
        <w:color w:val="3370ff"/>
      </w:rPr>
    </w:lvl>
  </w:abstractNum>
  <w:abstractNum w:abstractNumId="1002712">
    <w:lvl>
      <w:numFmt w:val="bullet"/>
      <w:suff w:val="tab"/>
      <w:lvlText w:val="•"/>
      <w:rPr>
        <w:color w:val="3370ff"/>
      </w:rPr>
    </w:lvl>
  </w:abstractNum>
  <w:abstractNum w:abstractNumId="1002713">
    <w:lvl>
      <w:numFmt w:val="bullet"/>
      <w:suff w:val="tab"/>
      <w:lvlText w:val="•"/>
      <w:rPr>
        <w:color w:val="3370ff"/>
      </w:rPr>
    </w:lvl>
  </w:abstractNum>
  <w:abstractNum w:abstractNumId="1002714">
    <w:lvl>
      <w:numFmt w:val="bullet"/>
      <w:suff w:val="tab"/>
      <w:lvlText w:val="•"/>
      <w:rPr>
        <w:color w:val="3370ff"/>
      </w:rPr>
    </w:lvl>
  </w:abstractNum>
  <w:abstractNum w:abstractNumId="1002715">
    <w:lvl>
      <w:numFmt w:val="bullet"/>
      <w:suff w:val="tab"/>
      <w:lvlText w:val="•"/>
      <w:rPr>
        <w:color w:val="3370ff"/>
      </w:rPr>
    </w:lvl>
  </w:abstractNum>
  <w:abstractNum w:abstractNumId="1002716">
    <w:lvl>
      <w:numFmt w:val="bullet"/>
      <w:suff w:val="tab"/>
      <w:lvlText w:val="•"/>
      <w:rPr>
        <w:color w:val="3370ff"/>
      </w:rPr>
    </w:lvl>
  </w:abstractNum>
  <w:abstractNum w:abstractNumId="1002717">
    <w:lvl>
      <w:numFmt w:val="bullet"/>
      <w:suff w:val="tab"/>
      <w:lvlText w:val="•"/>
      <w:rPr>
        <w:color w:val="3370ff"/>
      </w:rPr>
    </w:lvl>
  </w:abstractNum>
  <w:abstractNum w:abstractNumId="1002718">
    <w:lvl>
      <w:numFmt w:val="bullet"/>
      <w:suff w:val="tab"/>
      <w:lvlText w:val="•"/>
      <w:rPr>
        <w:color w:val="3370ff"/>
      </w:rPr>
    </w:lvl>
  </w:abstractNum>
  <w:abstractNum w:abstractNumId="1002719">
    <w:lvl>
      <w:numFmt w:val="bullet"/>
      <w:suff w:val="tab"/>
      <w:lvlText w:val="•"/>
      <w:rPr>
        <w:color w:val="3370ff"/>
      </w:rPr>
    </w:lvl>
  </w:abstractNum>
  <w:abstractNum w:abstractNumId="1002720">
    <w:lvl>
      <w:numFmt w:val="bullet"/>
      <w:suff w:val="tab"/>
      <w:lvlText w:val="•"/>
      <w:rPr>
        <w:color w:val="3370ff"/>
      </w:rPr>
    </w:lvl>
  </w:abstractNum>
  <w:abstractNum w:abstractNumId="1002721">
    <w:lvl>
      <w:numFmt w:val="bullet"/>
      <w:suff w:val="tab"/>
      <w:lvlText w:val="•"/>
      <w:rPr>
        <w:color w:val="3370ff"/>
      </w:rPr>
    </w:lvl>
  </w:abstractNum>
  <w:abstractNum w:abstractNumId="1002722">
    <w:lvl>
      <w:numFmt w:val="bullet"/>
      <w:suff w:val="tab"/>
      <w:lvlText w:val="•"/>
      <w:rPr>
        <w:color w:val="3370ff"/>
      </w:rPr>
    </w:lvl>
  </w:abstractNum>
  <w:abstractNum w:abstractNumId="1002723">
    <w:lvl>
      <w:numFmt w:val="bullet"/>
      <w:suff w:val="tab"/>
      <w:lvlText w:val="•"/>
      <w:rPr>
        <w:color w:val="3370ff"/>
      </w:rPr>
    </w:lvl>
  </w:abstractNum>
  <w:abstractNum w:abstractNumId="1002724">
    <w:lvl>
      <w:numFmt w:val="bullet"/>
      <w:suff w:val="tab"/>
      <w:lvlText w:val="•"/>
      <w:rPr>
        <w:color w:val="3370ff"/>
      </w:rPr>
    </w:lvl>
  </w:abstractNum>
  <w:abstractNum w:abstractNumId="1002725">
    <w:lvl>
      <w:numFmt w:val="bullet"/>
      <w:suff w:val="tab"/>
      <w:lvlText w:val="•"/>
      <w:rPr>
        <w:color w:val="3370ff"/>
      </w:rPr>
    </w:lvl>
  </w:abstractNum>
  <w:abstractNum w:abstractNumId="1002726">
    <w:lvl>
      <w:start w:val="1"/>
      <w:numFmt w:val="decimal"/>
      <w:suff w:val="tab"/>
      <w:lvlText w:val="%1."/>
      <w:rPr>
        <w:color w:val="3370ff"/>
      </w:rPr>
    </w:lvl>
  </w:abstractNum>
  <w:abstractNum w:abstractNumId="1002727">
    <w:lvl>
      <w:start w:val="2"/>
      <w:numFmt w:val="decimal"/>
      <w:suff w:val="tab"/>
      <w:lvlText w:val="%1."/>
      <w:rPr>
        <w:color w:val="3370ff"/>
      </w:rPr>
    </w:lvl>
  </w:abstractNum>
  <w:abstractNum w:abstractNumId="1002728">
    <w:lvl>
      <w:start w:val="3"/>
      <w:numFmt w:val="decimal"/>
      <w:suff w:val="tab"/>
      <w:lvlText w:val="%1."/>
      <w:rPr>
        <w:color w:val="3370ff"/>
      </w:rPr>
    </w:lvl>
  </w:abstractNum>
  <w:abstractNum w:abstractNumId="1002729">
    <w:lvl>
      <w:start w:val="4"/>
      <w:numFmt w:val="decimal"/>
      <w:suff w:val="tab"/>
      <w:lvlText w:val="%1."/>
      <w:rPr>
        <w:color w:val="3370ff"/>
      </w:rPr>
    </w:lvl>
  </w:abstractNum>
  <w:abstractNum w:abstractNumId="1002730">
    <w:lvl>
      <w:start w:val="5"/>
      <w:numFmt w:val="decimal"/>
      <w:suff w:val="tab"/>
      <w:lvlText w:val="%1."/>
      <w:rPr>
        <w:color w:val="3370ff"/>
      </w:rPr>
    </w:lvl>
  </w:abstractNum>
  <w:abstractNum w:abstractNumId="1002731">
    <w:lvl>
      <w:start w:val="6"/>
      <w:numFmt w:val="decimal"/>
      <w:suff w:val="tab"/>
      <w:lvlText w:val="%1."/>
      <w:rPr>
        <w:color w:val="3370ff"/>
      </w:rPr>
    </w:lvl>
  </w:abstractNum>
  <w:abstractNum w:abstractNumId="1002732">
    <w:lvl>
      <w:start w:val="1"/>
      <w:numFmt w:val="decimal"/>
      <w:suff w:val="tab"/>
      <w:lvlText w:val="%1."/>
      <w:rPr>
        <w:color w:val="3370ff"/>
      </w:rPr>
    </w:lvl>
  </w:abstractNum>
  <w:abstractNum w:abstractNumId="1002733">
    <w:lvl>
      <w:start w:val="2"/>
      <w:numFmt w:val="decimal"/>
      <w:suff w:val="tab"/>
      <w:lvlText w:val="%1."/>
      <w:rPr>
        <w:color w:val="3370ff"/>
      </w:rPr>
    </w:lvl>
  </w:abstractNum>
  <w:abstractNum w:abstractNumId="1002734">
    <w:lvl>
      <w:start w:val="3"/>
      <w:numFmt w:val="decimal"/>
      <w:suff w:val="tab"/>
      <w:lvlText w:val="%1."/>
      <w:rPr>
        <w:color w:val="3370ff"/>
      </w:rPr>
    </w:lvl>
  </w:abstractNum>
  <w:abstractNum w:abstractNumId="1002735">
    <w:lvl>
      <w:start w:val="4"/>
      <w:numFmt w:val="decimal"/>
      <w:suff w:val="tab"/>
      <w:lvlText w:val="%1."/>
      <w:rPr>
        <w:color w:val="3370ff"/>
      </w:rPr>
    </w:lvl>
  </w:abstractNum>
  <w:abstractNum w:abstractNumId="1002736">
    <w:lvl>
      <w:start w:val="5"/>
      <w:numFmt w:val="decimal"/>
      <w:suff w:val="tab"/>
      <w:lvlText w:val="%1."/>
      <w:rPr>
        <w:color w:val="3370ff"/>
      </w:rPr>
    </w:lvl>
  </w:abstractNum>
  <w:abstractNum w:abstractNumId="1002737">
    <w:lvl>
      <w:numFmt w:val="bullet"/>
      <w:suff w:val="tab"/>
      <w:lvlText w:val="•"/>
      <w:rPr>
        <w:color w:val="3370ff"/>
      </w:rPr>
    </w:lvl>
  </w:abstractNum>
  <w:abstractNum w:abstractNumId="1002738">
    <w:lvl>
      <w:numFmt w:val="bullet"/>
      <w:suff w:val="tab"/>
      <w:lvlText w:val="•"/>
      <w:rPr>
        <w:color w:val="3370ff"/>
      </w:rPr>
    </w:lvl>
  </w:abstractNum>
  <w:abstractNum w:abstractNumId="1002739">
    <w:lvl>
      <w:numFmt w:val="bullet"/>
      <w:suff w:val="tab"/>
      <w:lvlText w:val="•"/>
      <w:rPr>
        <w:color w:val="3370ff"/>
      </w:rPr>
    </w:lvl>
  </w:abstractNum>
  <w:abstractNum w:abstractNumId="1002740">
    <w:lvl>
      <w:numFmt w:val="bullet"/>
      <w:suff w:val="tab"/>
      <w:lvlText w:val="•"/>
      <w:rPr>
        <w:color w:val="3370ff"/>
      </w:rPr>
    </w:lvl>
  </w:abstractNum>
  <w:abstractNum w:abstractNumId="1002741">
    <w:lvl>
      <w:numFmt w:val="bullet"/>
      <w:suff w:val="tab"/>
      <w:lvlText w:val="•"/>
      <w:rPr>
        <w:color w:val="3370ff"/>
      </w:rPr>
    </w:lvl>
  </w:abstractNum>
  <w:abstractNum w:abstractNumId="1002742">
    <w:lvl>
      <w:numFmt w:val="bullet"/>
      <w:suff w:val="tab"/>
      <w:lvlText w:val="•"/>
      <w:rPr>
        <w:color w:val="3370ff"/>
      </w:rPr>
    </w:lvl>
  </w:abstractNum>
  <w:abstractNum w:abstractNumId="1002743">
    <w:lvl>
      <w:numFmt w:val="bullet"/>
      <w:suff w:val="tab"/>
      <w:lvlText w:val="•"/>
      <w:rPr>
        <w:color w:val="3370ff"/>
      </w:rPr>
    </w:lvl>
  </w:abstractNum>
  <w:abstractNum w:abstractNumId="1002744">
    <w:lvl>
      <w:numFmt w:val="bullet"/>
      <w:suff w:val="tab"/>
      <w:lvlText w:val="•"/>
      <w:rPr>
        <w:color w:val="3370ff"/>
      </w:rPr>
    </w:lvl>
  </w:abstractNum>
  <w:abstractNum w:abstractNumId="1002745">
    <w:lvl>
      <w:numFmt w:val="bullet"/>
      <w:suff w:val="tab"/>
      <w:lvlText w:val="•"/>
      <w:rPr>
        <w:color w:val="3370ff"/>
      </w:rPr>
    </w:lvl>
  </w:abstractNum>
  <w:abstractNum w:abstractNumId="1002746">
    <w:lvl>
      <w:numFmt w:val="bullet"/>
      <w:suff w:val="tab"/>
      <w:lvlText w:val="•"/>
      <w:rPr>
        <w:color w:val="3370ff"/>
      </w:rPr>
    </w:lvl>
  </w:abstractNum>
  <w:abstractNum w:abstractNumId="1002747">
    <w:lvl>
      <w:numFmt w:val="bullet"/>
      <w:suff w:val="tab"/>
      <w:lvlText w:val="•"/>
      <w:rPr>
        <w:color w:val="3370ff"/>
      </w:rPr>
    </w:lvl>
  </w:abstractNum>
  <w:abstractNum w:abstractNumId="1002748">
    <w:lvl>
      <w:numFmt w:val="bullet"/>
      <w:suff w:val="tab"/>
      <w:lvlText w:val="•"/>
      <w:rPr>
        <w:color w:val="3370ff"/>
      </w:rPr>
    </w:lvl>
  </w:abstractNum>
  <w:abstractNum w:abstractNumId="1002749">
    <w:lvl>
      <w:numFmt w:val="bullet"/>
      <w:suff w:val="tab"/>
      <w:lvlText w:val="•"/>
      <w:rPr>
        <w:color w:val="3370ff"/>
      </w:rPr>
    </w:lvl>
  </w:abstractNum>
  <w:abstractNum w:abstractNumId="1002750">
    <w:lvl>
      <w:numFmt w:val="bullet"/>
      <w:suff w:val="tab"/>
      <w:lvlText w:val="•"/>
      <w:rPr>
        <w:color w:val="3370ff"/>
      </w:rPr>
    </w:lvl>
  </w:abstractNum>
  <w:abstractNum w:abstractNumId="1002751">
    <w:lvl>
      <w:numFmt w:val="bullet"/>
      <w:suff w:val="tab"/>
      <w:lvlText w:val="•"/>
      <w:rPr>
        <w:color w:val="3370ff"/>
      </w:rPr>
    </w:lvl>
  </w:abstractNum>
  <w:abstractNum w:abstractNumId="1002752">
    <w:lvl>
      <w:numFmt w:val="bullet"/>
      <w:suff w:val="tab"/>
      <w:lvlText w:val="•"/>
      <w:rPr>
        <w:color w:val="3370ff"/>
      </w:rPr>
    </w:lvl>
  </w:abstractNum>
  <w:abstractNum w:abstractNumId="1002753">
    <w:lvl>
      <w:numFmt w:val="bullet"/>
      <w:suff w:val="tab"/>
      <w:lvlText w:val="•"/>
      <w:rPr>
        <w:color w:val="3370ff"/>
      </w:rPr>
    </w:lvl>
  </w:abstractNum>
  <w:abstractNum w:abstractNumId="1002754">
    <w:lvl>
      <w:numFmt w:val="bullet"/>
      <w:suff w:val="tab"/>
      <w:lvlText w:val="•"/>
      <w:rPr>
        <w:color w:val="3370ff"/>
      </w:rPr>
    </w:lvl>
  </w:abstractNum>
  <w:abstractNum w:abstractNumId="1002755">
    <w:lvl>
      <w:numFmt w:val="bullet"/>
      <w:suff w:val="tab"/>
      <w:lvlText w:val="•"/>
      <w:rPr>
        <w:color w:val="3370ff"/>
      </w:rPr>
    </w:lvl>
  </w:abstractNum>
  <w:abstractNum w:abstractNumId="1002756">
    <w:lvl>
      <w:numFmt w:val="bullet"/>
      <w:suff w:val="tab"/>
      <w:lvlText w:val="•"/>
      <w:rPr>
        <w:color w:val="3370ff"/>
      </w:rPr>
    </w:lvl>
  </w:abstractNum>
  <w:abstractNum w:abstractNumId="1002757">
    <w:lvl>
      <w:numFmt w:val="bullet"/>
      <w:suff w:val="tab"/>
      <w:lvlText w:val="•"/>
      <w:rPr>
        <w:color w:val="3370ff"/>
      </w:rPr>
    </w:lvl>
  </w:abstractNum>
  <w:abstractNum w:abstractNumId="1002758">
    <w:lvl>
      <w:numFmt w:val="bullet"/>
      <w:suff w:val="tab"/>
      <w:lvlText w:val="•"/>
      <w:rPr>
        <w:color w:val="3370ff"/>
      </w:rPr>
    </w:lvl>
  </w:abstractNum>
  <w:abstractNum w:abstractNumId="1002759">
    <w:lvl>
      <w:numFmt w:val="bullet"/>
      <w:suff w:val="tab"/>
      <w:lvlText w:val="•"/>
      <w:rPr>
        <w:color w:val="3370ff"/>
      </w:rPr>
    </w:lvl>
  </w:abstractNum>
  <w:abstractNum w:abstractNumId="1002760">
    <w:lvl>
      <w:numFmt w:val="bullet"/>
      <w:suff w:val="tab"/>
      <w:lvlText w:val="•"/>
      <w:rPr>
        <w:color w:val="3370ff"/>
      </w:rPr>
    </w:lvl>
  </w:abstractNum>
  <w:abstractNum w:abstractNumId="1002761">
    <w:lvl>
      <w:numFmt w:val="bullet"/>
      <w:suff w:val="tab"/>
      <w:lvlText w:val="•"/>
      <w:rPr>
        <w:color w:val="3370ff"/>
      </w:rPr>
    </w:lvl>
  </w:abstractNum>
  <w:abstractNum w:abstractNumId="1002762">
    <w:lvl>
      <w:numFmt w:val="bullet"/>
      <w:suff w:val="tab"/>
      <w:lvlText w:val="•"/>
      <w:rPr>
        <w:color w:val="3370ff"/>
      </w:rPr>
    </w:lvl>
  </w:abstractNum>
  <w:abstractNum w:abstractNumId="1002763">
    <w:lvl>
      <w:numFmt w:val="bullet"/>
      <w:suff w:val="tab"/>
      <w:lvlText w:val="•"/>
      <w:rPr>
        <w:color w:val="3370ff"/>
      </w:rPr>
    </w:lvl>
  </w:abstractNum>
  <w:abstractNum w:abstractNumId="1002764">
    <w:lvl>
      <w:numFmt w:val="bullet"/>
      <w:suff w:val="tab"/>
      <w:lvlText w:val="•"/>
      <w:rPr>
        <w:color w:val="3370ff"/>
      </w:rPr>
    </w:lvl>
  </w:abstractNum>
  <w:abstractNum w:abstractNumId="1002765">
    <w:lvl>
      <w:numFmt w:val="bullet"/>
      <w:suff w:val="tab"/>
      <w:lvlText w:val="•"/>
      <w:rPr>
        <w:color w:val="3370ff"/>
      </w:rPr>
    </w:lvl>
  </w:abstractNum>
  <w:abstractNum w:abstractNumId="1002766">
    <w:lvl>
      <w:numFmt w:val="bullet"/>
      <w:suff w:val="tab"/>
      <w:lvlText w:val="•"/>
      <w:rPr>
        <w:color w:val="3370ff"/>
      </w:rPr>
    </w:lvl>
  </w:abstractNum>
  <w:abstractNum w:abstractNumId="1002767">
    <w:lvl>
      <w:numFmt w:val="bullet"/>
      <w:suff w:val="tab"/>
      <w:lvlText w:val="•"/>
      <w:rPr>
        <w:color w:val="3370ff"/>
      </w:rPr>
    </w:lvl>
  </w:abstractNum>
  <w:abstractNum w:abstractNumId="1002768">
    <w:lvl>
      <w:numFmt w:val="bullet"/>
      <w:suff w:val="tab"/>
      <w:lvlText w:val="•"/>
      <w:rPr>
        <w:color w:val="3370ff"/>
      </w:rPr>
    </w:lvl>
  </w:abstractNum>
  <w:abstractNum w:abstractNumId="1002769">
    <w:lvl>
      <w:numFmt w:val="bullet"/>
      <w:suff w:val="tab"/>
      <w:lvlText w:val="•"/>
      <w:rPr>
        <w:color w:val="3370ff"/>
      </w:rPr>
    </w:lvl>
  </w:abstractNum>
  <w:abstractNum w:abstractNumId="1002770">
    <w:lvl>
      <w:numFmt w:val="bullet"/>
      <w:suff w:val="tab"/>
      <w:lvlText w:val="•"/>
      <w:rPr>
        <w:color w:val="3370ff"/>
      </w:rPr>
    </w:lvl>
  </w:abstractNum>
  <w:abstractNum w:abstractNumId="1002771">
    <w:lvl>
      <w:numFmt w:val="bullet"/>
      <w:suff w:val="tab"/>
      <w:lvlText w:val="•"/>
      <w:rPr>
        <w:color w:val="3370ff"/>
      </w:rPr>
    </w:lvl>
  </w:abstractNum>
  <w:abstractNum w:abstractNumId="1002772">
    <w:lvl>
      <w:numFmt w:val="bullet"/>
      <w:suff w:val="tab"/>
      <w:lvlText w:val="•"/>
      <w:rPr>
        <w:color w:val="3370ff"/>
      </w:rPr>
    </w:lvl>
  </w:abstractNum>
  <w:abstractNum w:abstractNumId="1002773">
    <w:lvl>
      <w:numFmt w:val="bullet"/>
      <w:suff w:val="tab"/>
      <w:lvlText w:val="•"/>
      <w:rPr>
        <w:color w:val="3370ff"/>
      </w:rPr>
    </w:lvl>
  </w:abstractNum>
  <w:abstractNum w:abstractNumId="1002774">
    <w:lvl>
      <w:numFmt w:val="bullet"/>
      <w:suff w:val="tab"/>
      <w:lvlText w:val="•"/>
      <w:rPr>
        <w:color w:val="3370ff"/>
      </w:rPr>
    </w:lvl>
  </w:abstractNum>
  <w:abstractNum w:abstractNumId="1002775">
    <w:lvl>
      <w:numFmt w:val="bullet"/>
      <w:suff w:val="tab"/>
      <w:lvlText w:val="•"/>
      <w:rPr>
        <w:color w:val="3370ff"/>
      </w:rPr>
    </w:lvl>
  </w:abstractNum>
  <w:abstractNum w:abstractNumId="1002776">
    <w:lvl>
      <w:numFmt w:val="bullet"/>
      <w:suff w:val="tab"/>
      <w:lvlText w:val="•"/>
      <w:rPr>
        <w:color w:val="3370ff"/>
      </w:rPr>
    </w:lvl>
  </w:abstractNum>
  <w:abstractNum w:abstractNumId="1002777">
    <w:lvl>
      <w:numFmt w:val="bullet"/>
      <w:suff w:val="tab"/>
      <w:lvlText w:val="•"/>
      <w:rPr>
        <w:color w:val="3370ff"/>
      </w:rPr>
    </w:lvl>
  </w:abstractNum>
  <w:abstractNum w:abstractNumId="1002778">
    <w:lvl>
      <w:numFmt w:val="bullet"/>
      <w:suff w:val="tab"/>
      <w:lvlText w:val="•"/>
      <w:rPr>
        <w:color w:val="3370ff"/>
      </w:rPr>
    </w:lvl>
  </w:abstractNum>
  <w:abstractNum w:abstractNumId="1002779">
    <w:lvl>
      <w:numFmt w:val="bullet"/>
      <w:suff w:val="tab"/>
      <w:lvlText w:val="•"/>
      <w:rPr>
        <w:color w:val="3370ff"/>
      </w:rPr>
    </w:lvl>
  </w:abstractNum>
  <w:abstractNum w:abstractNumId="1002780">
    <w:lvl>
      <w:numFmt w:val="bullet"/>
      <w:suff w:val="tab"/>
      <w:lvlText w:val="•"/>
      <w:rPr>
        <w:color w:val="3370ff"/>
      </w:rPr>
    </w:lvl>
  </w:abstractNum>
  <w:abstractNum w:abstractNumId="1002781">
    <w:lvl>
      <w:numFmt w:val="bullet"/>
      <w:suff w:val="tab"/>
      <w:lvlText w:val="•"/>
      <w:rPr>
        <w:color w:val="3370ff"/>
      </w:rPr>
    </w:lvl>
  </w:abstractNum>
  <w:abstractNum w:abstractNumId="1002782">
    <w:lvl>
      <w:numFmt w:val="bullet"/>
      <w:suff w:val="tab"/>
      <w:lvlText w:val="•"/>
      <w:rPr>
        <w:color w:val="3370ff"/>
      </w:rPr>
    </w:lvl>
  </w:abstractNum>
  <w:abstractNum w:abstractNumId="1002783">
    <w:lvl>
      <w:numFmt w:val="bullet"/>
      <w:suff w:val="tab"/>
      <w:lvlText w:val="•"/>
      <w:rPr>
        <w:color w:val="3370ff"/>
      </w:rPr>
    </w:lvl>
  </w:abstractNum>
  <w:abstractNum w:abstractNumId="1002784">
    <w:lvl>
      <w:numFmt w:val="bullet"/>
      <w:suff w:val="tab"/>
      <w:lvlText w:val="•"/>
      <w:rPr>
        <w:color w:val="3370ff"/>
      </w:rPr>
    </w:lvl>
  </w:abstractNum>
  <w:abstractNum w:abstractNumId="1002785">
    <w:lvl>
      <w:numFmt w:val="bullet"/>
      <w:suff w:val="tab"/>
      <w:lvlText w:val="•"/>
      <w:rPr>
        <w:color w:val="3370ff"/>
      </w:rPr>
    </w:lvl>
  </w:abstractNum>
  <w:abstractNum w:abstractNumId="1002786">
    <w:lvl>
      <w:numFmt w:val="bullet"/>
      <w:suff w:val="tab"/>
      <w:lvlText w:val="•"/>
      <w:rPr>
        <w:color w:val="3370ff"/>
      </w:rPr>
    </w:lvl>
  </w:abstractNum>
  <w:abstractNum w:abstractNumId="1002787">
    <w:lvl>
      <w:numFmt w:val="bullet"/>
      <w:suff w:val="tab"/>
      <w:lvlText w:val="•"/>
      <w:rPr>
        <w:color w:val="3370ff"/>
      </w:rPr>
    </w:lvl>
  </w:abstractNum>
  <w:abstractNum w:abstractNumId="1002788">
    <w:lvl>
      <w:numFmt w:val="bullet"/>
      <w:suff w:val="tab"/>
      <w:lvlText w:val="•"/>
      <w:rPr>
        <w:color w:val="3370ff"/>
      </w:rPr>
    </w:lvl>
  </w:abstractNum>
  <w:abstractNum w:abstractNumId="1002789">
    <w:lvl>
      <w:numFmt w:val="bullet"/>
      <w:suff w:val="tab"/>
      <w:lvlText w:val="•"/>
      <w:rPr>
        <w:color w:val="3370ff"/>
      </w:rPr>
    </w:lvl>
  </w:abstractNum>
  <w:abstractNum w:abstractNumId="1002790">
    <w:lvl>
      <w:numFmt w:val="bullet"/>
      <w:suff w:val="tab"/>
      <w:lvlText w:val="•"/>
      <w:rPr>
        <w:color w:val="3370ff"/>
      </w:rPr>
    </w:lvl>
  </w:abstractNum>
  <w:abstractNum w:abstractNumId="1002791">
    <w:lvl>
      <w:numFmt w:val="bullet"/>
      <w:suff w:val="tab"/>
      <w:lvlText w:val="•"/>
      <w:rPr>
        <w:color w:val="3370ff"/>
      </w:rPr>
    </w:lvl>
  </w:abstractNum>
  <w:abstractNum w:abstractNumId="1002792">
    <w:lvl>
      <w:numFmt w:val="bullet"/>
      <w:suff w:val="tab"/>
      <w:lvlText w:val="•"/>
      <w:rPr>
        <w:color w:val="3370ff"/>
      </w:rPr>
    </w:lvl>
  </w:abstractNum>
  <w:abstractNum w:abstractNumId="1002793">
    <w:lvl>
      <w:numFmt w:val="bullet"/>
      <w:suff w:val="tab"/>
      <w:lvlText w:val="•"/>
      <w:rPr>
        <w:color w:val="3370ff"/>
      </w:rPr>
    </w:lvl>
  </w:abstractNum>
  <w:abstractNum w:abstractNumId="1002794">
    <w:lvl>
      <w:numFmt w:val="bullet"/>
      <w:suff w:val="tab"/>
      <w:lvlText w:val="•"/>
      <w:rPr>
        <w:color w:val="3370ff"/>
      </w:rPr>
    </w:lvl>
  </w:abstractNum>
  <w:abstractNum w:abstractNumId="1002795">
    <w:lvl>
      <w:numFmt w:val="bullet"/>
      <w:suff w:val="tab"/>
      <w:lvlText w:val="•"/>
      <w:rPr>
        <w:color w:val="3370ff"/>
      </w:rPr>
    </w:lvl>
  </w:abstractNum>
  <w:abstractNum w:abstractNumId="1002796">
    <w:lvl>
      <w:numFmt w:val="bullet"/>
      <w:suff w:val="tab"/>
      <w:lvlText w:val="•"/>
      <w:rPr>
        <w:color w:val="3370ff"/>
      </w:rPr>
    </w:lvl>
  </w:abstractNum>
  <w:abstractNum w:abstractNumId="1002797">
    <w:lvl>
      <w:numFmt w:val="bullet"/>
      <w:suff w:val="tab"/>
      <w:lvlText w:val="•"/>
      <w:rPr>
        <w:color w:val="3370ff"/>
      </w:rPr>
    </w:lvl>
  </w:abstractNum>
  <w:abstractNum w:abstractNumId="1002798">
    <w:lvl>
      <w:numFmt w:val="bullet"/>
      <w:suff w:val="tab"/>
      <w:lvlText w:val="•"/>
      <w:rPr>
        <w:color w:val="3370ff"/>
      </w:rPr>
    </w:lvl>
  </w:abstractNum>
  <w:abstractNum w:abstractNumId="1002799">
    <w:lvl>
      <w:numFmt w:val="bullet"/>
      <w:suff w:val="tab"/>
      <w:lvlText w:val="•"/>
      <w:rPr>
        <w:color w:val="3370ff"/>
      </w:rPr>
    </w:lvl>
  </w:abstractNum>
  <w:abstractNum w:abstractNumId="1002800">
    <w:lvl>
      <w:numFmt w:val="bullet"/>
      <w:suff w:val="tab"/>
      <w:lvlText w:val="•"/>
      <w:rPr>
        <w:color w:val="3370ff"/>
      </w:rPr>
    </w:lvl>
  </w:abstractNum>
  <w:abstractNum w:abstractNumId="1002801">
    <w:lvl>
      <w:numFmt w:val="bullet"/>
      <w:suff w:val="tab"/>
      <w:lvlText w:val="•"/>
      <w:rPr>
        <w:color w:val="3370ff"/>
      </w:rPr>
    </w:lvl>
  </w:abstractNum>
  <w:abstractNum w:abstractNumId="1002802">
    <w:lvl>
      <w:numFmt w:val="bullet"/>
      <w:suff w:val="tab"/>
      <w:lvlText w:val="•"/>
      <w:rPr>
        <w:color w:val="3370ff"/>
      </w:rPr>
    </w:lvl>
  </w:abstractNum>
  <w:abstractNum w:abstractNumId="1002803">
    <w:lvl>
      <w:numFmt w:val="bullet"/>
      <w:suff w:val="tab"/>
      <w:lvlText w:val="•"/>
      <w:rPr>
        <w:color w:val="3370ff"/>
      </w:rPr>
    </w:lvl>
  </w:abstractNum>
  <w:abstractNum w:abstractNumId="1002804">
    <w:lvl>
      <w:numFmt w:val="bullet"/>
      <w:suff w:val="tab"/>
      <w:lvlText w:val="•"/>
      <w:rPr>
        <w:color w:val="3370ff"/>
      </w:rPr>
    </w:lvl>
  </w:abstractNum>
  <w:abstractNum w:abstractNumId="1002805">
    <w:lvl>
      <w:numFmt w:val="bullet"/>
      <w:suff w:val="tab"/>
      <w:lvlText w:val="•"/>
      <w:rPr>
        <w:color w:val="3370ff"/>
      </w:rPr>
    </w:lvl>
  </w:abstractNum>
  <w:abstractNum w:abstractNumId="1002806">
    <w:lvl>
      <w:numFmt w:val="bullet"/>
      <w:suff w:val="tab"/>
      <w:lvlText w:val="•"/>
      <w:rPr>
        <w:color w:val="3370ff"/>
      </w:rPr>
    </w:lvl>
  </w:abstractNum>
  <w:abstractNum w:abstractNumId="1002807">
    <w:lvl>
      <w:numFmt w:val="bullet"/>
      <w:suff w:val="tab"/>
      <w:lvlText w:val="•"/>
      <w:rPr>
        <w:color w:val="3370ff"/>
      </w:rPr>
    </w:lvl>
  </w:abstractNum>
  <w:abstractNum w:abstractNumId="1002808">
    <w:lvl>
      <w:numFmt w:val="bullet"/>
      <w:suff w:val="tab"/>
      <w:lvlText w:val="•"/>
      <w:rPr>
        <w:color w:val="3370ff"/>
      </w:rPr>
    </w:lvl>
  </w:abstractNum>
  <w:abstractNum w:abstractNumId="1002809">
    <w:lvl>
      <w:numFmt w:val="bullet"/>
      <w:suff w:val="tab"/>
      <w:lvlText w:val="•"/>
      <w:rPr>
        <w:color w:val="3370ff"/>
      </w:rPr>
    </w:lvl>
  </w:abstractNum>
  <w:abstractNum w:abstractNumId="1002810">
    <w:lvl>
      <w:numFmt w:val="bullet"/>
      <w:suff w:val="tab"/>
      <w:lvlText w:val="•"/>
      <w:rPr>
        <w:color w:val="3370ff"/>
      </w:rPr>
    </w:lvl>
  </w:abstractNum>
  <w:abstractNum w:abstractNumId="1002811">
    <w:lvl>
      <w:numFmt w:val="bullet"/>
      <w:suff w:val="tab"/>
      <w:lvlText w:val="•"/>
      <w:rPr>
        <w:color w:val="3370ff"/>
      </w:rPr>
    </w:lvl>
  </w:abstractNum>
  <w:abstractNum w:abstractNumId="1002812">
    <w:lvl>
      <w:numFmt w:val="bullet"/>
      <w:suff w:val="tab"/>
      <w:lvlText w:val="•"/>
      <w:rPr>
        <w:color w:val="3370ff"/>
      </w:rPr>
    </w:lvl>
  </w:abstractNum>
  <w:abstractNum w:abstractNumId="1002813">
    <w:lvl>
      <w:numFmt w:val="bullet"/>
      <w:suff w:val="tab"/>
      <w:lvlText w:val="•"/>
      <w:rPr>
        <w:color w:val="3370ff"/>
      </w:rPr>
    </w:lvl>
  </w:abstractNum>
  <w:abstractNum w:abstractNumId="1002814">
    <w:lvl>
      <w:numFmt w:val="bullet"/>
      <w:suff w:val="tab"/>
      <w:lvlText w:val="•"/>
      <w:rPr>
        <w:color w:val="3370ff"/>
      </w:rPr>
    </w:lvl>
  </w:abstractNum>
  <w:abstractNum w:abstractNumId="1002815">
    <w:lvl>
      <w:numFmt w:val="bullet"/>
      <w:suff w:val="tab"/>
      <w:lvlText w:val="•"/>
      <w:rPr>
        <w:color w:val="3370ff"/>
      </w:rPr>
    </w:lvl>
  </w:abstractNum>
  <w:abstractNum w:abstractNumId="1002816">
    <w:lvl>
      <w:numFmt w:val="bullet"/>
      <w:suff w:val="tab"/>
      <w:lvlText w:val="•"/>
      <w:rPr>
        <w:color w:val="3370ff"/>
      </w:rPr>
    </w:lvl>
  </w:abstractNum>
  <w:abstractNum w:abstractNumId="1002817">
    <w:lvl>
      <w:numFmt w:val="bullet"/>
      <w:suff w:val="tab"/>
      <w:lvlText w:val="•"/>
      <w:rPr>
        <w:color w:val="3370ff"/>
      </w:rPr>
    </w:lvl>
  </w:abstractNum>
  <w:abstractNum w:abstractNumId="1002818">
    <w:lvl>
      <w:numFmt w:val="bullet"/>
      <w:suff w:val="tab"/>
      <w:lvlText w:val="•"/>
      <w:rPr>
        <w:color w:val="3370ff"/>
      </w:rPr>
    </w:lvl>
  </w:abstractNum>
  <w:abstractNum w:abstractNumId="1002819">
    <w:lvl>
      <w:numFmt w:val="bullet"/>
      <w:suff w:val="tab"/>
      <w:lvlText w:val="•"/>
      <w:rPr>
        <w:color w:val="3370ff"/>
      </w:rPr>
    </w:lvl>
  </w:abstractNum>
  <w:abstractNum w:abstractNumId="1002820">
    <w:lvl>
      <w:numFmt w:val="bullet"/>
      <w:suff w:val="tab"/>
      <w:lvlText w:val="•"/>
      <w:rPr>
        <w:color w:val="3370ff"/>
      </w:rPr>
    </w:lvl>
  </w:abstractNum>
  <w:abstractNum w:abstractNumId="1002821">
    <w:lvl>
      <w:numFmt w:val="bullet"/>
      <w:suff w:val="tab"/>
      <w:lvlText w:val="•"/>
      <w:rPr>
        <w:color w:val="3370ff"/>
      </w:rPr>
    </w:lvl>
  </w:abstractNum>
  <w:abstractNum w:abstractNumId="1002822">
    <w:lvl>
      <w:numFmt w:val="bullet"/>
      <w:suff w:val="tab"/>
      <w:lvlText w:val="•"/>
      <w:rPr>
        <w:color w:val="3370ff"/>
      </w:rPr>
    </w:lvl>
  </w:abstractNum>
  <w:abstractNum w:abstractNumId="1002823">
    <w:lvl>
      <w:numFmt w:val="bullet"/>
      <w:suff w:val="tab"/>
      <w:lvlText w:val="•"/>
      <w:rPr>
        <w:color w:val="3370ff"/>
      </w:rPr>
    </w:lvl>
  </w:abstractNum>
  <w:abstractNum w:abstractNumId="1002824">
    <w:lvl>
      <w:numFmt w:val="bullet"/>
      <w:suff w:val="tab"/>
      <w:lvlText w:val="•"/>
      <w:rPr>
        <w:color w:val="3370ff"/>
      </w:rPr>
    </w:lvl>
  </w:abstractNum>
  <w:abstractNum w:abstractNumId="1002825">
    <w:lvl>
      <w:numFmt w:val="bullet"/>
      <w:suff w:val="tab"/>
      <w:lvlText w:val="•"/>
      <w:rPr>
        <w:color w:val="3370ff"/>
      </w:rPr>
    </w:lvl>
  </w:abstractNum>
  <w:abstractNum w:abstractNumId="1002826">
    <w:lvl>
      <w:numFmt w:val="bullet"/>
      <w:suff w:val="tab"/>
      <w:lvlText w:val="•"/>
      <w:rPr>
        <w:color w:val="3370ff"/>
      </w:rPr>
    </w:lvl>
  </w:abstractNum>
  <w:abstractNum w:abstractNumId="1002827">
    <w:lvl>
      <w:numFmt w:val="bullet"/>
      <w:suff w:val="tab"/>
      <w:lvlText w:val="•"/>
      <w:rPr>
        <w:color w:val="3370ff"/>
      </w:rPr>
    </w:lvl>
  </w:abstractNum>
  <w:abstractNum w:abstractNumId="1002828">
    <w:lvl>
      <w:numFmt w:val="bullet"/>
      <w:suff w:val="tab"/>
      <w:lvlText w:val="•"/>
      <w:rPr>
        <w:color w:val="3370ff"/>
      </w:rPr>
    </w:lvl>
  </w:abstractNum>
  <w:abstractNum w:abstractNumId="1002829">
    <w:lvl>
      <w:numFmt w:val="bullet"/>
      <w:suff w:val="tab"/>
      <w:lvlText w:val="•"/>
      <w:rPr>
        <w:color w:val="3370ff"/>
      </w:rPr>
    </w:lvl>
  </w:abstractNum>
  <w:abstractNum w:abstractNumId="1002830">
    <w:lvl>
      <w:numFmt w:val="bullet"/>
      <w:suff w:val="tab"/>
      <w:lvlText w:val="•"/>
      <w:rPr>
        <w:color w:val="3370ff"/>
      </w:rPr>
    </w:lvl>
  </w:abstractNum>
  <w:abstractNum w:abstractNumId="1002831">
    <w:lvl>
      <w:numFmt w:val="bullet"/>
      <w:suff w:val="tab"/>
      <w:lvlText w:val="•"/>
      <w:rPr>
        <w:color w:val="3370ff"/>
      </w:rPr>
    </w:lvl>
  </w:abstractNum>
  <w:abstractNum w:abstractNumId="1002832">
    <w:lvl>
      <w:numFmt w:val="bullet"/>
      <w:suff w:val="tab"/>
      <w:lvlText w:val="•"/>
      <w:rPr>
        <w:color w:val="3370ff"/>
      </w:rPr>
    </w:lvl>
  </w:abstractNum>
  <w:abstractNum w:abstractNumId="1002833">
    <w:lvl>
      <w:numFmt w:val="bullet"/>
      <w:suff w:val="tab"/>
      <w:lvlText w:val="•"/>
      <w:rPr>
        <w:color w:val="3370ff"/>
      </w:rPr>
    </w:lvl>
  </w:abstractNum>
  <w:abstractNum w:abstractNumId="1002834">
    <w:lvl>
      <w:numFmt w:val="bullet"/>
      <w:suff w:val="tab"/>
      <w:lvlText w:val="•"/>
      <w:rPr>
        <w:color w:val="3370ff"/>
      </w:rPr>
    </w:lvl>
  </w:abstractNum>
  <w:abstractNum w:abstractNumId="1002835">
    <w:lvl>
      <w:numFmt w:val="bullet"/>
      <w:suff w:val="tab"/>
      <w:lvlText w:val="•"/>
      <w:rPr>
        <w:color w:val="3370ff"/>
      </w:rPr>
    </w:lvl>
  </w:abstractNum>
  <w:abstractNum w:abstractNumId="1002836">
    <w:lvl>
      <w:numFmt w:val="bullet"/>
      <w:suff w:val="tab"/>
      <w:lvlText w:val="•"/>
      <w:rPr>
        <w:color w:val="3370ff"/>
      </w:rPr>
    </w:lvl>
  </w:abstractNum>
  <w:abstractNum w:abstractNumId="1002837">
    <w:lvl>
      <w:numFmt w:val="bullet"/>
      <w:suff w:val="tab"/>
      <w:lvlText w:val="•"/>
      <w:rPr>
        <w:color w:val="3370ff"/>
      </w:rPr>
    </w:lvl>
  </w:abstractNum>
  <w:abstractNum w:abstractNumId="1002838">
    <w:lvl>
      <w:numFmt w:val="bullet"/>
      <w:suff w:val="tab"/>
      <w:lvlText w:val="•"/>
      <w:rPr>
        <w:color w:val="3370ff"/>
      </w:rPr>
    </w:lvl>
  </w:abstractNum>
  <w:abstractNum w:abstractNumId="1002839">
    <w:lvl>
      <w:numFmt w:val="bullet"/>
      <w:suff w:val="tab"/>
      <w:lvlText w:val="•"/>
      <w:rPr>
        <w:color w:val="3370ff"/>
      </w:rPr>
    </w:lvl>
  </w:abstractNum>
  <w:abstractNum w:abstractNumId="1002840">
    <w:lvl>
      <w:numFmt w:val="bullet"/>
      <w:suff w:val="tab"/>
      <w:lvlText w:val="•"/>
      <w:rPr>
        <w:color w:val="3370ff"/>
      </w:rPr>
    </w:lvl>
  </w:abstractNum>
  <w:abstractNum w:abstractNumId="1002841">
    <w:lvl>
      <w:numFmt w:val="bullet"/>
      <w:suff w:val="tab"/>
      <w:lvlText w:val="•"/>
      <w:rPr>
        <w:color w:val="3370ff"/>
      </w:rPr>
    </w:lvl>
  </w:abstractNum>
  <w:abstractNum w:abstractNumId="1002842">
    <w:lvl>
      <w:numFmt w:val="bullet"/>
      <w:suff w:val="tab"/>
      <w:lvlText w:val="•"/>
      <w:rPr>
        <w:color w:val="3370ff"/>
      </w:rPr>
    </w:lvl>
  </w:abstractNum>
  <w:abstractNum w:abstractNumId="1002843">
    <w:lvl>
      <w:numFmt w:val="bullet"/>
      <w:suff w:val="tab"/>
      <w:lvlText w:val="•"/>
      <w:rPr>
        <w:color w:val="3370ff"/>
      </w:rPr>
    </w:lvl>
  </w:abstractNum>
  <w:abstractNum w:abstractNumId="1002844">
    <w:lvl>
      <w:numFmt w:val="bullet"/>
      <w:suff w:val="tab"/>
      <w:lvlText w:val="•"/>
      <w:rPr>
        <w:color w:val="3370ff"/>
      </w:rPr>
    </w:lvl>
  </w:abstractNum>
  <w:abstractNum w:abstractNumId="1002845">
    <w:lvl>
      <w:numFmt w:val="bullet"/>
      <w:suff w:val="tab"/>
      <w:lvlText w:val="•"/>
      <w:rPr>
        <w:color w:val="3370ff"/>
      </w:rPr>
    </w:lvl>
  </w:abstractNum>
  <w:abstractNum w:abstractNumId="1002846">
    <w:lvl>
      <w:numFmt w:val="bullet"/>
      <w:suff w:val="tab"/>
      <w:lvlText w:val="•"/>
      <w:rPr>
        <w:color w:val="3370ff"/>
      </w:rPr>
    </w:lvl>
  </w:abstractNum>
  <w:abstractNum w:abstractNumId="1002847">
    <w:lvl>
      <w:numFmt w:val="bullet"/>
      <w:suff w:val="tab"/>
      <w:lvlText w:val="•"/>
      <w:rPr>
        <w:color w:val="3370ff"/>
      </w:rPr>
    </w:lvl>
  </w:abstractNum>
  <w:abstractNum w:abstractNumId="1002848">
    <w:lvl>
      <w:numFmt w:val="bullet"/>
      <w:suff w:val="tab"/>
      <w:lvlText w:val="•"/>
      <w:rPr>
        <w:color w:val="3370ff"/>
      </w:rPr>
    </w:lvl>
  </w:abstractNum>
  <w:abstractNum w:abstractNumId="1002849">
    <w:lvl>
      <w:numFmt w:val="bullet"/>
      <w:suff w:val="tab"/>
      <w:lvlText w:val="•"/>
      <w:rPr>
        <w:color w:val="3370ff"/>
      </w:rPr>
    </w:lvl>
  </w:abstractNum>
  <w:abstractNum w:abstractNumId="1002850">
    <w:lvl>
      <w:numFmt w:val="bullet"/>
      <w:suff w:val="tab"/>
      <w:lvlText w:val="•"/>
      <w:rPr>
        <w:color w:val="3370ff"/>
      </w:rPr>
    </w:lvl>
  </w:abstractNum>
  <w:abstractNum w:abstractNumId="1002851">
    <w:lvl>
      <w:numFmt w:val="bullet"/>
      <w:suff w:val="tab"/>
      <w:lvlText w:val="•"/>
      <w:rPr>
        <w:color w:val="3370ff"/>
      </w:rPr>
    </w:lvl>
  </w:abstractNum>
  <w:abstractNum w:abstractNumId="1002852">
    <w:lvl>
      <w:numFmt w:val="bullet"/>
      <w:suff w:val="tab"/>
      <w:lvlText w:val="•"/>
      <w:rPr>
        <w:color w:val="3370ff"/>
      </w:rPr>
    </w:lvl>
  </w:abstractNum>
  <w:abstractNum w:abstractNumId="1002853">
    <w:lvl>
      <w:numFmt w:val="bullet"/>
      <w:suff w:val="tab"/>
      <w:lvlText w:val="•"/>
      <w:rPr>
        <w:color w:val="3370ff"/>
      </w:rPr>
    </w:lvl>
  </w:abstractNum>
  <w:abstractNum w:abstractNumId="1002854">
    <w:lvl>
      <w:numFmt w:val="bullet"/>
      <w:suff w:val="tab"/>
      <w:lvlText w:val="•"/>
      <w:rPr>
        <w:color w:val="3370ff"/>
      </w:rPr>
    </w:lvl>
  </w:abstractNum>
  <w:abstractNum w:abstractNumId="1002855">
    <w:lvl>
      <w:numFmt w:val="bullet"/>
      <w:suff w:val="tab"/>
      <w:lvlText w:val="•"/>
      <w:rPr>
        <w:color w:val="3370ff"/>
      </w:rPr>
    </w:lvl>
  </w:abstractNum>
  <w:abstractNum w:abstractNumId="1002856">
    <w:lvl>
      <w:numFmt w:val="bullet"/>
      <w:suff w:val="tab"/>
      <w:lvlText w:val="•"/>
      <w:rPr>
        <w:color w:val="3370ff"/>
      </w:rPr>
    </w:lvl>
  </w:abstractNum>
  <w:abstractNum w:abstractNumId="1002857">
    <w:lvl>
      <w:numFmt w:val="bullet"/>
      <w:suff w:val="tab"/>
      <w:lvlText w:val="•"/>
      <w:rPr>
        <w:color w:val="3370ff"/>
      </w:rPr>
    </w:lvl>
  </w:abstractNum>
  <w:abstractNum w:abstractNumId="1002858">
    <w:lvl>
      <w:numFmt w:val="bullet"/>
      <w:suff w:val="tab"/>
      <w:lvlText w:val="•"/>
      <w:rPr>
        <w:color w:val="3370ff"/>
      </w:rPr>
    </w:lvl>
  </w:abstractNum>
  <w:abstractNum w:abstractNumId="1002859">
    <w:lvl>
      <w:numFmt w:val="bullet"/>
      <w:suff w:val="tab"/>
      <w:lvlText w:val="•"/>
      <w:rPr>
        <w:color w:val="3370ff"/>
      </w:rPr>
    </w:lvl>
  </w:abstractNum>
  <w:abstractNum w:abstractNumId="1002860">
    <w:lvl>
      <w:numFmt w:val="bullet"/>
      <w:suff w:val="tab"/>
      <w:lvlText w:val="•"/>
      <w:rPr>
        <w:color w:val="3370ff"/>
      </w:rPr>
    </w:lvl>
  </w:abstractNum>
  <w:abstractNum w:abstractNumId="1002861">
    <w:lvl>
      <w:numFmt w:val="bullet"/>
      <w:suff w:val="tab"/>
      <w:lvlText w:val="•"/>
      <w:rPr>
        <w:color w:val="3370ff"/>
      </w:rPr>
    </w:lvl>
  </w:abstractNum>
  <w:abstractNum w:abstractNumId="1002862">
    <w:lvl>
      <w:numFmt w:val="bullet"/>
      <w:suff w:val="tab"/>
      <w:lvlText w:val="•"/>
      <w:rPr>
        <w:color w:val="3370ff"/>
      </w:rPr>
    </w:lvl>
  </w:abstractNum>
  <w:abstractNum w:abstractNumId="1002863">
    <w:lvl>
      <w:numFmt w:val="bullet"/>
      <w:suff w:val="tab"/>
      <w:lvlText w:val="•"/>
      <w:rPr>
        <w:color w:val="3370ff"/>
      </w:rPr>
    </w:lvl>
  </w:abstractNum>
  <w:abstractNum w:abstractNumId="1002864">
    <w:lvl>
      <w:numFmt w:val="bullet"/>
      <w:suff w:val="tab"/>
      <w:lvlText w:val="•"/>
      <w:rPr>
        <w:color w:val="3370ff"/>
      </w:rPr>
    </w:lvl>
  </w:abstractNum>
  <w:abstractNum w:abstractNumId="1002865">
    <w:lvl>
      <w:numFmt w:val="bullet"/>
      <w:suff w:val="tab"/>
      <w:lvlText w:val="•"/>
      <w:rPr>
        <w:color w:val="3370ff"/>
      </w:rPr>
    </w:lvl>
  </w:abstractNum>
  <w:abstractNum w:abstractNumId="1002866">
    <w:lvl>
      <w:numFmt w:val="bullet"/>
      <w:suff w:val="tab"/>
      <w:lvlText w:val="•"/>
      <w:rPr>
        <w:color w:val="3370ff"/>
      </w:rPr>
    </w:lvl>
  </w:abstractNum>
  <w:abstractNum w:abstractNumId="1002867">
    <w:lvl>
      <w:numFmt w:val="bullet"/>
      <w:suff w:val="tab"/>
      <w:lvlText w:val="•"/>
      <w:rPr>
        <w:color w:val="3370ff"/>
      </w:rPr>
    </w:lvl>
  </w:abstractNum>
  <w:abstractNum w:abstractNumId="1002868">
    <w:lvl>
      <w:numFmt w:val="bullet"/>
      <w:suff w:val="tab"/>
      <w:lvlText w:val="•"/>
      <w:rPr>
        <w:color w:val="3370ff"/>
      </w:rPr>
    </w:lvl>
  </w:abstractNum>
  <w:abstractNum w:abstractNumId="1002869">
    <w:lvl>
      <w:numFmt w:val="bullet"/>
      <w:suff w:val="tab"/>
      <w:lvlText w:val="•"/>
      <w:rPr>
        <w:color w:val="3370ff"/>
      </w:rPr>
    </w:lvl>
  </w:abstractNum>
  <w:abstractNum w:abstractNumId="1002870">
    <w:lvl>
      <w:numFmt w:val="bullet"/>
      <w:suff w:val="tab"/>
      <w:lvlText w:val="•"/>
      <w:rPr>
        <w:color w:val="3370ff"/>
      </w:rPr>
    </w:lvl>
  </w:abstractNum>
  <w:abstractNum w:abstractNumId="1002871">
    <w:lvl>
      <w:numFmt w:val="bullet"/>
      <w:suff w:val="tab"/>
      <w:lvlText w:val="•"/>
      <w:rPr>
        <w:color w:val="3370ff"/>
      </w:rPr>
    </w:lvl>
  </w:abstractNum>
  <w:abstractNum w:abstractNumId="1002872">
    <w:lvl>
      <w:numFmt w:val="bullet"/>
      <w:suff w:val="tab"/>
      <w:lvlText w:val="•"/>
      <w:rPr>
        <w:color w:val="3370ff"/>
      </w:rPr>
    </w:lvl>
  </w:abstractNum>
  <w:abstractNum w:abstractNumId="1002873">
    <w:lvl>
      <w:numFmt w:val="bullet"/>
      <w:suff w:val="tab"/>
      <w:lvlText w:val="•"/>
      <w:rPr>
        <w:color w:val="3370ff"/>
      </w:rPr>
    </w:lvl>
  </w:abstractNum>
  <w:abstractNum w:abstractNumId="1002874">
    <w:lvl>
      <w:numFmt w:val="bullet"/>
      <w:suff w:val="tab"/>
      <w:lvlText w:val="•"/>
      <w:rPr>
        <w:color w:val="3370ff"/>
      </w:rPr>
    </w:lvl>
  </w:abstractNum>
  <w:abstractNum w:abstractNumId="1002875">
    <w:lvl>
      <w:numFmt w:val="bullet"/>
      <w:suff w:val="tab"/>
      <w:lvlText w:val="•"/>
      <w:rPr>
        <w:color w:val="3370ff"/>
      </w:rPr>
    </w:lvl>
  </w:abstractNum>
  <w:abstractNum w:abstractNumId="1002876">
    <w:lvl>
      <w:numFmt w:val="bullet"/>
      <w:suff w:val="tab"/>
      <w:lvlText w:val="•"/>
      <w:rPr>
        <w:color w:val="3370ff"/>
      </w:rPr>
    </w:lvl>
  </w:abstractNum>
  <w:abstractNum w:abstractNumId="1002877">
    <w:lvl>
      <w:numFmt w:val="bullet"/>
      <w:suff w:val="tab"/>
      <w:lvlText w:val="•"/>
      <w:rPr>
        <w:color w:val="3370ff"/>
      </w:rPr>
    </w:lvl>
  </w:abstractNum>
  <w:abstractNum w:abstractNumId="1002878">
    <w:lvl>
      <w:numFmt w:val="bullet"/>
      <w:suff w:val="tab"/>
      <w:lvlText w:val="•"/>
      <w:rPr>
        <w:color w:val="3370ff"/>
      </w:rPr>
    </w:lvl>
  </w:abstractNum>
  <w:abstractNum w:abstractNumId="1002879">
    <w:lvl>
      <w:start w:val="1"/>
      <w:numFmt w:val="decimal"/>
      <w:suff w:val="tab"/>
      <w:lvlText w:val="%1."/>
      <w:rPr>
        <w:color w:val="3370ff"/>
      </w:rPr>
    </w:lvl>
  </w:abstractNum>
  <w:abstractNum w:abstractNumId="1002880">
    <w:lvl>
      <w:start w:val="2"/>
      <w:numFmt w:val="decimal"/>
      <w:suff w:val="tab"/>
      <w:lvlText w:val="%1."/>
      <w:rPr>
        <w:color w:val="3370ff"/>
      </w:rPr>
    </w:lvl>
  </w:abstractNum>
  <w:abstractNum w:abstractNumId="1002881">
    <w:lvl>
      <w:start w:val="3"/>
      <w:numFmt w:val="decimal"/>
      <w:suff w:val="tab"/>
      <w:lvlText w:val="%1."/>
      <w:rPr>
        <w:color w:val="3370ff"/>
      </w:rPr>
    </w:lvl>
  </w:abstractNum>
  <w:abstractNum w:abstractNumId="1002882">
    <w:lvl>
      <w:start w:val="4"/>
      <w:numFmt w:val="decimal"/>
      <w:suff w:val="tab"/>
      <w:lvlText w:val="%1."/>
      <w:rPr>
        <w:color w:val="3370ff"/>
      </w:rPr>
    </w:lvl>
  </w:abstractNum>
  <w:abstractNum w:abstractNumId="1002883">
    <w:lvl>
      <w:numFmt w:val="bullet"/>
      <w:suff w:val="tab"/>
      <w:lvlText w:val="•"/>
      <w:rPr>
        <w:color w:val="3370ff"/>
      </w:rPr>
    </w:lvl>
  </w:abstractNum>
  <w:abstractNum w:abstractNumId="1002884">
    <w:lvl>
      <w:numFmt w:val="bullet"/>
      <w:suff w:val="tab"/>
      <w:lvlText w:val="•"/>
      <w:rPr>
        <w:color w:val="3370ff"/>
      </w:rPr>
    </w:lvl>
  </w:abstractNum>
  <w:abstractNum w:abstractNumId="1002885">
    <w:lvl>
      <w:numFmt w:val="bullet"/>
      <w:suff w:val="tab"/>
      <w:lvlText w:val="•"/>
      <w:rPr>
        <w:color w:val="3370ff"/>
      </w:rPr>
    </w:lvl>
  </w:abstractNum>
  <w:abstractNum w:abstractNumId="1002886">
    <w:lvl>
      <w:numFmt w:val="bullet"/>
      <w:suff w:val="tab"/>
      <w:lvlText w:val="•"/>
      <w:rPr>
        <w:color w:val="3370ff"/>
      </w:rPr>
    </w:lvl>
  </w:abstractNum>
  <w:abstractNum w:abstractNumId="1002887">
    <w:lvl>
      <w:numFmt w:val="bullet"/>
      <w:suff w:val="tab"/>
      <w:lvlText w:val="•"/>
      <w:rPr>
        <w:color w:val="3370ff"/>
      </w:rPr>
    </w:lvl>
  </w:abstractNum>
  <w:abstractNum w:abstractNumId="1002888">
    <w:lvl>
      <w:numFmt w:val="bullet"/>
      <w:suff w:val="tab"/>
      <w:lvlText w:val="•"/>
      <w:rPr>
        <w:color w:val="3370ff"/>
      </w:rPr>
    </w:lvl>
  </w:abstractNum>
  <w:abstractNum w:abstractNumId="1002889">
    <w:lvl>
      <w:numFmt w:val="bullet"/>
      <w:suff w:val="tab"/>
      <w:lvlText w:val="•"/>
      <w:rPr>
        <w:color w:val="3370ff"/>
      </w:rPr>
    </w:lvl>
  </w:abstractNum>
  <w:abstractNum w:abstractNumId="1002890">
    <w:lvl>
      <w:numFmt w:val="bullet"/>
      <w:suff w:val="tab"/>
      <w:lvlText w:val="•"/>
      <w:rPr>
        <w:color w:val="3370ff"/>
      </w:rPr>
    </w:lvl>
  </w:abstractNum>
  <w:abstractNum w:abstractNumId="1002891">
    <w:lvl>
      <w:numFmt w:val="bullet"/>
      <w:suff w:val="tab"/>
      <w:lvlText w:val="•"/>
      <w:rPr>
        <w:color w:val="3370ff"/>
      </w:rPr>
    </w:lvl>
  </w:abstractNum>
  <w:abstractNum w:abstractNumId="1002892">
    <w:lvl>
      <w:numFmt w:val="bullet"/>
      <w:suff w:val="tab"/>
      <w:lvlText w:val="•"/>
      <w:rPr>
        <w:color w:val="3370ff"/>
      </w:rPr>
    </w:lvl>
  </w:abstractNum>
  <w:abstractNum w:abstractNumId="1002893">
    <w:lvl>
      <w:numFmt w:val="bullet"/>
      <w:suff w:val="tab"/>
      <w:lvlText w:val="•"/>
      <w:rPr>
        <w:color w:val="3370ff"/>
      </w:rPr>
    </w:lvl>
  </w:abstractNum>
  <w:abstractNum w:abstractNumId="1002894">
    <w:lvl>
      <w:numFmt w:val="bullet"/>
      <w:suff w:val="tab"/>
      <w:lvlText w:val="•"/>
      <w:rPr>
        <w:color w:val="3370ff"/>
      </w:rPr>
    </w:lvl>
  </w:abstractNum>
  <w:abstractNum w:abstractNumId="1002895">
    <w:lvl>
      <w:numFmt w:val="bullet"/>
      <w:suff w:val="tab"/>
      <w:lvlText w:val="•"/>
      <w:rPr>
        <w:color w:val="3370ff"/>
      </w:rPr>
    </w:lvl>
  </w:abstractNum>
  <w:abstractNum w:abstractNumId="1002896">
    <w:lvl>
      <w:numFmt w:val="bullet"/>
      <w:suff w:val="tab"/>
      <w:lvlText w:val="•"/>
      <w:rPr>
        <w:color w:val="3370ff"/>
      </w:rPr>
    </w:lvl>
  </w:abstractNum>
  <w:abstractNum w:abstractNumId="1002897">
    <w:lvl>
      <w:numFmt w:val="bullet"/>
      <w:suff w:val="tab"/>
      <w:lvlText w:val="•"/>
      <w:rPr>
        <w:color w:val="3370ff"/>
      </w:rPr>
    </w:lvl>
  </w:abstractNum>
  <w:abstractNum w:abstractNumId="1002898">
    <w:lvl>
      <w:numFmt w:val="bullet"/>
      <w:suff w:val="tab"/>
      <w:lvlText w:val="•"/>
      <w:rPr>
        <w:color w:val="3370ff"/>
      </w:rPr>
    </w:lvl>
  </w:abstractNum>
  <w:abstractNum w:abstractNumId="1002899">
    <w:lvl>
      <w:numFmt w:val="bullet"/>
      <w:suff w:val="tab"/>
      <w:lvlText w:val="•"/>
      <w:rPr>
        <w:color w:val="3370ff"/>
      </w:rPr>
    </w:lvl>
  </w:abstractNum>
  <w:abstractNum w:abstractNumId="1002900">
    <w:lvl>
      <w:numFmt w:val="bullet"/>
      <w:suff w:val="tab"/>
      <w:lvlText w:val="•"/>
      <w:rPr>
        <w:color w:val="3370ff"/>
      </w:rPr>
    </w:lvl>
  </w:abstractNum>
  <w:abstractNum w:abstractNumId="1002901">
    <w:lvl>
      <w:numFmt w:val="bullet"/>
      <w:suff w:val="tab"/>
      <w:lvlText w:val="•"/>
      <w:rPr>
        <w:color w:val="3370ff"/>
      </w:rPr>
    </w:lvl>
  </w:abstractNum>
  <w:abstractNum w:abstractNumId="1002902">
    <w:lvl>
      <w:numFmt w:val="bullet"/>
      <w:suff w:val="tab"/>
      <w:lvlText w:val="•"/>
      <w:rPr>
        <w:color w:val="3370ff"/>
      </w:rPr>
    </w:lvl>
  </w:abstractNum>
  <w:abstractNum w:abstractNumId="1002903">
    <w:lvl>
      <w:numFmt w:val="bullet"/>
      <w:suff w:val="tab"/>
      <w:lvlText w:val="•"/>
      <w:rPr>
        <w:color w:val="3370ff"/>
      </w:rPr>
    </w:lvl>
  </w:abstractNum>
  <w:abstractNum w:abstractNumId="1002904">
    <w:lvl>
      <w:numFmt w:val="bullet"/>
      <w:suff w:val="tab"/>
      <w:lvlText w:val="•"/>
      <w:rPr>
        <w:color w:val="3370ff"/>
      </w:rPr>
    </w:lvl>
  </w:abstractNum>
  <w:abstractNum w:abstractNumId="1002905">
    <w:lvl>
      <w:numFmt w:val="bullet"/>
      <w:suff w:val="tab"/>
      <w:lvlText w:val="•"/>
      <w:rPr>
        <w:color w:val="3370ff"/>
      </w:rPr>
    </w:lvl>
  </w:abstractNum>
  <w:abstractNum w:abstractNumId="1002906">
    <w:lvl>
      <w:numFmt w:val="bullet"/>
      <w:suff w:val="tab"/>
      <w:lvlText w:val="•"/>
      <w:rPr>
        <w:color w:val="3370ff"/>
      </w:rPr>
    </w:lvl>
  </w:abstractNum>
  <w:abstractNum w:abstractNumId="1002907">
    <w:lvl>
      <w:numFmt w:val="bullet"/>
      <w:suff w:val="tab"/>
      <w:lvlText w:val="•"/>
      <w:rPr>
        <w:color w:val="3370ff"/>
      </w:rPr>
    </w:lvl>
  </w:abstractNum>
  <w:abstractNum w:abstractNumId="1002908">
    <w:lvl>
      <w:numFmt w:val="bullet"/>
      <w:suff w:val="tab"/>
      <w:lvlText w:val="•"/>
      <w:rPr>
        <w:color w:val="3370ff"/>
      </w:rPr>
    </w:lvl>
  </w:abstractNum>
  <w:abstractNum w:abstractNumId="1002909">
    <w:lvl>
      <w:numFmt w:val="bullet"/>
      <w:suff w:val="tab"/>
      <w:lvlText w:val="•"/>
      <w:rPr>
        <w:color w:val="3370ff"/>
      </w:rPr>
    </w:lvl>
  </w:abstractNum>
  <w:abstractNum w:abstractNumId="1002910">
    <w:lvl>
      <w:numFmt w:val="bullet"/>
      <w:suff w:val="tab"/>
      <w:lvlText w:val="•"/>
      <w:rPr>
        <w:color w:val="3370ff"/>
      </w:rPr>
    </w:lvl>
  </w:abstractNum>
  <w:abstractNum w:abstractNumId="1002911">
    <w:lvl>
      <w:numFmt w:val="bullet"/>
      <w:suff w:val="tab"/>
      <w:lvlText w:val="•"/>
      <w:rPr>
        <w:color w:val="3370ff"/>
      </w:rPr>
    </w:lvl>
  </w:abstractNum>
  <w:abstractNum w:abstractNumId="1002912">
    <w:lvl>
      <w:numFmt w:val="bullet"/>
      <w:suff w:val="tab"/>
      <w:lvlText w:val="•"/>
      <w:rPr>
        <w:color w:val="3370ff"/>
      </w:rPr>
    </w:lvl>
  </w:abstractNum>
  <w:abstractNum w:abstractNumId="1002913">
    <w:lvl>
      <w:numFmt w:val="bullet"/>
      <w:suff w:val="tab"/>
      <w:lvlText w:val="•"/>
      <w:rPr>
        <w:color w:val="3370ff"/>
      </w:rPr>
    </w:lvl>
  </w:abstractNum>
  <w:abstractNum w:abstractNumId="1002914">
    <w:lvl>
      <w:numFmt w:val="bullet"/>
      <w:suff w:val="tab"/>
      <w:lvlText w:val="•"/>
      <w:rPr>
        <w:color w:val="3370ff"/>
      </w:rPr>
    </w:lvl>
  </w:abstractNum>
  <w:abstractNum w:abstractNumId="1002915">
    <w:lvl>
      <w:numFmt w:val="bullet"/>
      <w:suff w:val="tab"/>
      <w:lvlText w:val="•"/>
      <w:rPr>
        <w:color w:val="3370ff"/>
      </w:rPr>
    </w:lvl>
  </w:abstractNum>
  <w:abstractNum w:abstractNumId="1002916">
    <w:lvl>
      <w:numFmt w:val="bullet"/>
      <w:suff w:val="tab"/>
      <w:lvlText w:val="•"/>
      <w:rPr>
        <w:color w:val="3370ff"/>
      </w:rPr>
    </w:lvl>
  </w:abstractNum>
  <w:abstractNum w:abstractNumId="1002917">
    <w:lvl>
      <w:numFmt w:val="bullet"/>
      <w:suff w:val="tab"/>
      <w:lvlText w:val="•"/>
      <w:rPr>
        <w:color w:val="3370ff"/>
      </w:rPr>
    </w:lvl>
  </w:abstractNum>
  <w:abstractNum w:abstractNumId="1002918">
    <w:lvl>
      <w:numFmt w:val="bullet"/>
      <w:suff w:val="tab"/>
      <w:lvlText w:val="•"/>
      <w:rPr>
        <w:color w:val="3370ff"/>
      </w:rPr>
    </w:lvl>
  </w:abstractNum>
  <w:abstractNum w:abstractNumId="1002919">
    <w:lvl>
      <w:numFmt w:val="bullet"/>
      <w:suff w:val="tab"/>
      <w:lvlText w:val="•"/>
      <w:rPr>
        <w:color w:val="3370ff"/>
      </w:rPr>
    </w:lvl>
  </w:abstractNum>
  <w:abstractNum w:abstractNumId="1002920">
    <w:lvl>
      <w:numFmt w:val="bullet"/>
      <w:suff w:val="tab"/>
      <w:lvlText w:val="•"/>
      <w:rPr>
        <w:color w:val="3370ff"/>
      </w:rPr>
    </w:lvl>
  </w:abstractNum>
  <w:abstractNum w:abstractNumId="1002921">
    <w:lvl>
      <w:numFmt w:val="bullet"/>
      <w:suff w:val="tab"/>
      <w:lvlText w:val="•"/>
      <w:rPr>
        <w:color w:val="3370ff"/>
      </w:rPr>
    </w:lvl>
  </w:abstractNum>
  <w:abstractNum w:abstractNumId="1002922">
    <w:lvl>
      <w:numFmt w:val="bullet"/>
      <w:suff w:val="tab"/>
      <w:lvlText w:val="•"/>
      <w:rPr>
        <w:color w:val="3370ff"/>
      </w:rPr>
    </w:lvl>
  </w:abstractNum>
  <w:abstractNum w:abstractNumId="1002923">
    <w:lvl>
      <w:numFmt w:val="bullet"/>
      <w:suff w:val="tab"/>
      <w:lvlText w:val="•"/>
      <w:rPr>
        <w:color w:val="3370ff"/>
      </w:rPr>
    </w:lvl>
  </w:abstractNum>
  <w:abstractNum w:abstractNumId="1002924">
    <w:lvl>
      <w:numFmt w:val="bullet"/>
      <w:suff w:val="tab"/>
      <w:lvlText w:val="•"/>
      <w:rPr>
        <w:color w:val="3370ff"/>
      </w:rPr>
    </w:lvl>
  </w:abstractNum>
  <w:abstractNum w:abstractNumId="1002925">
    <w:lvl>
      <w:numFmt w:val="bullet"/>
      <w:suff w:val="tab"/>
      <w:lvlText w:val="•"/>
      <w:rPr>
        <w:color w:val="3370ff"/>
      </w:rPr>
    </w:lvl>
  </w:abstractNum>
  <w:abstractNum w:abstractNumId="1002926">
    <w:lvl>
      <w:numFmt w:val="bullet"/>
      <w:suff w:val="tab"/>
      <w:lvlText w:val="•"/>
      <w:rPr>
        <w:color w:val="3370ff"/>
      </w:rPr>
    </w:lvl>
  </w:abstractNum>
  <w:abstractNum w:abstractNumId="1002927">
    <w:lvl>
      <w:numFmt w:val="bullet"/>
      <w:suff w:val="tab"/>
      <w:lvlText w:val="•"/>
      <w:rPr>
        <w:color w:val="3370ff"/>
      </w:rPr>
    </w:lvl>
  </w:abstractNum>
  <w:abstractNum w:abstractNumId="1002928">
    <w:lvl>
      <w:numFmt w:val="bullet"/>
      <w:suff w:val="tab"/>
      <w:lvlText w:val="•"/>
      <w:rPr>
        <w:color w:val="3370ff"/>
      </w:rPr>
    </w:lvl>
  </w:abstractNum>
  <w:abstractNum w:abstractNumId="1002929">
    <w:lvl>
      <w:numFmt w:val="bullet"/>
      <w:suff w:val="tab"/>
      <w:lvlText w:val="•"/>
      <w:rPr>
        <w:color w:val="3370ff"/>
      </w:rPr>
    </w:lvl>
  </w:abstractNum>
  <w:abstractNum w:abstractNumId="1002930">
    <w:lvl>
      <w:numFmt w:val="bullet"/>
      <w:suff w:val="tab"/>
      <w:lvlText w:val="•"/>
      <w:rPr>
        <w:color w:val="3370ff"/>
      </w:rPr>
    </w:lvl>
  </w:abstractNum>
  <w:abstractNum w:abstractNumId="1002931">
    <w:lvl>
      <w:numFmt w:val="bullet"/>
      <w:suff w:val="tab"/>
      <w:lvlText w:val="•"/>
      <w:rPr>
        <w:color w:val="3370ff"/>
      </w:rPr>
    </w:lvl>
  </w:abstractNum>
  <w:abstractNum w:abstractNumId="1002932">
    <w:lvl>
      <w:numFmt w:val="bullet"/>
      <w:suff w:val="tab"/>
      <w:lvlText w:val="•"/>
      <w:rPr>
        <w:color w:val="3370ff"/>
      </w:rPr>
    </w:lvl>
  </w:abstractNum>
  <w:abstractNum w:abstractNumId="1002933">
    <w:lvl>
      <w:numFmt w:val="bullet"/>
      <w:suff w:val="tab"/>
      <w:lvlText w:val="•"/>
      <w:rPr>
        <w:color w:val="3370ff"/>
      </w:rPr>
    </w:lvl>
  </w:abstractNum>
  <w:abstractNum w:abstractNumId="1002934">
    <w:lvl>
      <w:numFmt w:val="bullet"/>
      <w:suff w:val="tab"/>
      <w:lvlText w:val="•"/>
      <w:rPr>
        <w:color w:val="3370ff"/>
      </w:rPr>
    </w:lvl>
  </w:abstractNum>
  <w:abstractNum w:abstractNumId="1002935">
    <w:lvl>
      <w:numFmt w:val="bullet"/>
      <w:suff w:val="tab"/>
      <w:lvlText w:val="•"/>
      <w:rPr>
        <w:color w:val="3370ff"/>
      </w:rPr>
    </w:lvl>
  </w:abstractNum>
  <w:abstractNum w:abstractNumId="1002936">
    <w:lvl>
      <w:numFmt w:val="bullet"/>
      <w:suff w:val="tab"/>
      <w:lvlText w:val="•"/>
      <w:rPr>
        <w:color w:val="3370ff"/>
      </w:rPr>
    </w:lvl>
  </w:abstractNum>
  <w:abstractNum w:abstractNumId="1002937">
    <w:lvl>
      <w:numFmt w:val="bullet"/>
      <w:suff w:val="tab"/>
      <w:lvlText w:val="•"/>
      <w:rPr>
        <w:color w:val="3370ff"/>
      </w:rPr>
    </w:lvl>
  </w:abstractNum>
  <w:abstractNum w:abstractNumId="1002938">
    <w:lvl>
      <w:numFmt w:val="bullet"/>
      <w:suff w:val="tab"/>
      <w:lvlText w:val="•"/>
      <w:rPr>
        <w:color w:val="3370ff"/>
      </w:rPr>
    </w:lvl>
  </w:abstractNum>
  <w:abstractNum w:abstractNumId="1002939">
    <w:lvl>
      <w:numFmt w:val="bullet"/>
      <w:suff w:val="tab"/>
      <w:lvlText w:val="•"/>
      <w:rPr>
        <w:color w:val="3370ff"/>
      </w:rPr>
    </w:lvl>
  </w:abstractNum>
  <w:abstractNum w:abstractNumId="1002940">
    <w:lvl>
      <w:numFmt w:val="bullet"/>
      <w:suff w:val="tab"/>
      <w:lvlText w:val="•"/>
      <w:rPr>
        <w:color w:val="3370ff"/>
      </w:rPr>
    </w:lvl>
  </w:abstractNum>
  <w:abstractNum w:abstractNumId="1002941">
    <w:lvl>
      <w:numFmt w:val="bullet"/>
      <w:suff w:val="tab"/>
      <w:lvlText w:val="•"/>
      <w:rPr>
        <w:color w:val="3370ff"/>
      </w:rPr>
    </w:lvl>
  </w:abstractNum>
  <w:abstractNum w:abstractNumId="1002942">
    <w:lvl>
      <w:numFmt w:val="bullet"/>
      <w:suff w:val="tab"/>
      <w:lvlText w:val="•"/>
      <w:rPr>
        <w:color w:val="3370ff"/>
      </w:rPr>
    </w:lvl>
  </w:abstractNum>
  <w:abstractNum w:abstractNumId="1002943">
    <w:lvl>
      <w:numFmt w:val="bullet"/>
      <w:suff w:val="tab"/>
      <w:lvlText w:val="•"/>
      <w:rPr>
        <w:color w:val="3370ff"/>
      </w:rPr>
    </w:lvl>
  </w:abstractNum>
  <w:abstractNum w:abstractNumId="1002944">
    <w:lvl>
      <w:numFmt w:val="bullet"/>
      <w:suff w:val="tab"/>
      <w:lvlText w:val="•"/>
      <w:rPr>
        <w:color w:val="3370ff"/>
      </w:rPr>
    </w:lvl>
  </w:abstractNum>
  <w:abstractNum w:abstractNumId="1002945">
    <w:lvl>
      <w:numFmt w:val="bullet"/>
      <w:suff w:val="tab"/>
      <w:lvlText w:val="•"/>
      <w:rPr>
        <w:color w:val="3370ff"/>
      </w:rPr>
    </w:lvl>
  </w:abstractNum>
  <w:abstractNum w:abstractNumId="1002946">
    <w:lvl>
      <w:numFmt w:val="bullet"/>
      <w:suff w:val="tab"/>
      <w:lvlText w:val="•"/>
      <w:rPr>
        <w:color w:val="3370ff"/>
      </w:rPr>
    </w:lvl>
  </w:abstractNum>
  <w:abstractNum w:abstractNumId="1002947">
    <w:lvl>
      <w:numFmt w:val="bullet"/>
      <w:suff w:val="tab"/>
      <w:lvlText w:val="•"/>
      <w:rPr>
        <w:color w:val="3370ff"/>
      </w:rPr>
    </w:lvl>
  </w:abstractNum>
  <w:abstractNum w:abstractNumId="1002948">
    <w:lvl>
      <w:numFmt w:val="bullet"/>
      <w:suff w:val="tab"/>
      <w:lvlText w:val="•"/>
      <w:rPr>
        <w:color w:val="3370ff"/>
      </w:rPr>
    </w:lvl>
  </w:abstractNum>
  <w:abstractNum w:abstractNumId="1002949">
    <w:lvl>
      <w:numFmt w:val="bullet"/>
      <w:suff w:val="tab"/>
      <w:lvlText w:val="•"/>
      <w:rPr>
        <w:color w:val="3370ff"/>
      </w:rPr>
    </w:lvl>
  </w:abstractNum>
  <w:abstractNum w:abstractNumId="1002950">
    <w:lvl>
      <w:numFmt w:val="bullet"/>
      <w:suff w:val="tab"/>
      <w:lvlText w:val="•"/>
      <w:rPr>
        <w:color w:val="3370ff"/>
      </w:rPr>
    </w:lvl>
  </w:abstractNum>
  <w:abstractNum w:abstractNumId="1002951">
    <w:lvl>
      <w:numFmt w:val="bullet"/>
      <w:suff w:val="tab"/>
      <w:lvlText w:val="•"/>
      <w:rPr>
        <w:color w:val="3370ff"/>
      </w:rPr>
    </w:lvl>
  </w:abstractNum>
  <w:abstractNum w:abstractNumId="1002952">
    <w:lvl>
      <w:numFmt w:val="bullet"/>
      <w:suff w:val="tab"/>
      <w:lvlText w:val="•"/>
      <w:rPr>
        <w:color w:val="3370ff"/>
      </w:rPr>
    </w:lvl>
  </w:abstractNum>
  <w:abstractNum w:abstractNumId="1002953">
    <w:lvl>
      <w:numFmt w:val="bullet"/>
      <w:suff w:val="tab"/>
      <w:lvlText w:val="•"/>
      <w:rPr>
        <w:color w:val="3370ff"/>
      </w:rPr>
    </w:lvl>
  </w:abstractNum>
  <w:abstractNum w:abstractNumId="1002954">
    <w:lvl>
      <w:numFmt w:val="bullet"/>
      <w:suff w:val="tab"/>
      <w:lvlText w:val="•"/>
      <w:rPr>
        <w:color w:val="3370ff"/>
      </w:rPr>
    </w:lvl>
  </w:abstractNum>
  <w:abstractNum w:abstractNumId="1002955">
    <w:lvl>
      <w:numFmt w:val="bullet"/>
      <w:suff w:val="tab"/>
      <w:lvlText w:val="•"/>
      <w:rPr>
        <w:color w:val="3370ff"/>
      </w:rPr>
    </w:lvl>
  </w:abstractNum>
  <w:abstractNum w:abstractNumId="1002956">
    <w:lvl>
      <w:numFmt w:val="bullet"/>
      <w:suff w:val="tab"/>
      <w:lvlText w:val="•"/>
      <w:rPr>
        <w:color w:val="3370ff"/>
      </w:rPr>
    </w:lvl>
  </w:abstractNum>
  <w:abstractNum w:abstractNumId="1002957">
    <w:lvl>
      <w:numFmt w:val="bullet"/>
      <w:suff w:val="tab"/>
      <w:lvlText w:val="•"/>
      <w:rPr>
        <w:color w:val="3370ff"/>
      </w:rPr>
    </w:lvl>
  </w:abstractNum>
  <w:abstractNum w:abstractNumId="1002958">
    <w:lvl>
      <w:numFmt w:val="bullet"/>
      <w:suff w:val="tab"/>
      <w:lvlText w:val="•"/>
      <w:rPr>
        <w:color w:val="3370ff"/>
      </w:rPr>
    </w:lvl>
  </w:abstractNum>
  <w:abstractNum w:abstractNumId="1002959">
    <w:lvl>
      <w:numFmt w:val="bullet"/>
      <w:suff w:val="tab"/>
      <w:lvlText w:val="•"/>
      <w:rPr>
        <w:color w:val="3370ff"/>
      </w:rPr>
    </w:lvl>
  </w:abstractNum>
  <w:abstractNum w:abstractNumId="1002960">
    <w:lvl>
      <w:numFmt w:val="bullet"/>
      <w:suff w:val="tab"/>
      <w:lvlText w:val="•"/>
      <w:rPr>
        <w:color w:val="3370ff"/>
      </w:rPr>
    </w:lvl>
  </w:abstractNum>
  <w:abstractNum w:abstractNumId="1002961">
    <w:lvl>
      <w:numFmt w:val="bullet"/>
      <w:suff w:val="tab"/>
      <w:lvlText w:val="•"/>
      <w:rPr>
        <w:color w:val="3370ff"/>
      </w:rPr>
    </w:lvl>
  </w:abstractNum>
  <w:abstractNum w:abstractNumId="1002962">
    <w:lvl>
      <w:numFmt w:val="bullet"/>
      <w:suff w:val="tab"/>
      <w:lvlText w:val="•"/>
      <w:rPr>
        <w:color w:val="3370ff"/>
      </w:rPr>
    </w:lvl>
  </w:abstractNum>
  <w:abstractNum w:abstractNumId="1002963">
    <w:lvl>
      <w:numFmt w:val="bullet"/>
      <w:suff w:val="tab"/>
      <w:lvlText w:val="•"/>
      <w:rPr>
        <w:color w:val="3370ff"/>
      </w:rPr>
    </w:lvl>
  </w:abstractNum>
  <w:abstractNum w:abstractNumId="1002964">
    <w:lvl>
      <w:numFmt w:val="bullet"/>
      <w:suff w:val="tab"/>
      <w:lvlText w:val="•"/>
      <w:rPr>
        <w:color w:val="3370ff"/>
      </w:rPr>
    </w:lvl>
  </w:abstractNum>
  <w:abstractNum w:abstractNumId="1002965">
    <w:lvl>
      <w:numFmt w:val="bullet"/>
      <w:suff w:val="tab"/>
      <w:lvlText w:val="•"/>
      <w:rPr>
        <w:color w:val="3370ff"/>
      </w:rPr>
    </w:lvl>
  </w:abstractNum>
  <w:abstractNum w:abstractNumId="1002966">
    <w:lvl>
      <w:numFmt w:val="bullet"/>
      <w:suff w:val="tab"/>
      <w:lvlText w:val="•"/>
      <w:rPr>
        <w:color w:val="3370ff"/>
      </w:rPr>
    </w:lvl>
  </w:abstractNum>
  <w:abstractNum w:abstractNumId="1002967">
    <w:lvl>
      <w:numFmt w:val="bullet"/>
      <w:suff w:val="tab"/>
      <w:lvlText w:val="•"/>
      <w:rPr>
        <w:color w:val="3370ff"/>
      </w:rPr>
    </w:lvl>
  </w:abstractNum>
  <w:abstractNum w:abstractNumId="1002968">
    <w:lvl>
      <w:numFmt w:val="bullet"/>
      <w:suff w:val="tab"/>
      <w:lvlText w:val="•"/>
      <w:rPr>
        <w:color w:val="3370ff"/>
      </w:rPr>
    </w:lvl>
  </w:abstractNum>
  <w:abstractNum w:abstractNumId="1002969">
    <w:lvl>
      <w:numFmt w:val="bullet"/>
      <w:suff w:val="tab"/>
      <w:lvlText w:val="•"/>
      <w:rPr>
        <w:color w:val="3370ff"/>
      </w:rPr>
    </w:lvl>
  </w:abstractNum>
  <w:abstractNum w:abstractNumId="1002970">
    <w:lvl>
      <w:numFmt w:val="bullet"/>
      <w:suff w:val="tab"/>
      <w:lvlText w:val="•"/>
      <w:rPr>
        <w:color w:val="3370ff"/>
      </w:rPr>
    </w:lvl>
  </w:abstractNum>
  <w:abstractNum w:abstractNumId="1002971">
    <w:lvl>
      <w:numFmt w:val="bullet"/>
      <w:suff w:val="tab"/>
      <w:lvlText w:val="•"/>
      <w:rPr>
        <w:color w:val="3370ff"/>
      </w:rPr>
    </w:lvl>
  </w:abstractNum>
  <w:abstractNum w:abstractNumId="1002972">
    <w:lvl>
      <w:numFmt w:val="bullet"/>
      <w:suff w:val="tab"/>
      <w:lvlText w:val="•"/>
      <w:rPr>
        <w:color w:val="3370ff"/>
      </w:rPr>
    </w:lvl>
  </w:abstractNum>
  <w:abstractNum w:abstractNumId="1002973">
    <w:lvl>
      <w:numFmt w:val="bullet"/>
      <w:suff w:val="tab"/>
      <w:lvlText w:val="•"/>
      <w:rPr>
        <w:color w:val="3370ff"/>
      </w:rPr>
    </w:lvl>
  </w:abstractNum>
  <w:abstractNum w:abstractNumId="1002974">
    <w:lvl>
      <w:start w:val="1"/>
      <w:numFmt w:val="decimal"/>
      <w:suff w:val="tab"/>
      <w:lvlText w:val="%1."/>
      <w:rPr>
        <w:color w:val="3370ff"/>
      </w:rPr>
    </w:lvl>
  </w:abstractNum>
  <w:abstractNum w:abstractNumId="1002975">
    <w:lvl>
      <w:numFmt w:val="bullet"/>
      <w:suff w:val="tab"/>
      <w:lvlText w:val="￮"/>
      <w:rPr>
        <w:color w:val="3370ff"/>
      </w:rPr>
    </w:lvl>
  </w:abstractNum>
  <w:abstractNum w:abstractNumId="1002976">
    <w:lvl>
      <w:numFmt w:val="bullet"/>
      <w:suff w:val="tab"/>
      <w:lvlText w:val="￮"/>
      <w:rPr>
        <w:color w:val="3370ff"/>
      </w:rPr>
    </w:lvl>
  </w:abstractNum>
  <w:abstractNum w:abstractNumId="1002977">
    <w:lvl>
      <w:numFmt w:val="bullet"/>
      <w:suff w:val="tab"/>
      <w:lvlText w:val="￮"/>
      <w:rPr>
        <w:color w:val="3370ff"/>
      </w:rPr>
    </w:lvl>
  </w:abstractNum>
  <w:abstractNum w:abstractNumId="1002978">
    <w:lvl>
      <w:numFmt w:val="bullet"/>
      <w:suff w:val="tab"/>
      <w:lvlText w:val="￮"/>
      <w:rPr>
        <w:color w:val="3370ff"/>
      </w:rPr>
    </w:lvl>
  </w:abstractNum>
  <w:abstractNum w:abstractNumId="1002979">
    <w:lvl>
      <w:numFmt w:val="bullet"/>
      <w:suff w:val="tab"/>
      <w:lvlText w:val="￮"/>
      <w:rPr>
        <w:color w:val="3370ff"/>
      </w:rPr>
    </w:lvl>
  </w:abstractNum>
  <w:abstractNum w:abstractNumId="1002980">
    <w:lvl>
      <w:start w:val="2"/>
      <w:numFmt w:val="decimal"/>
      <w:suff w:val="tab"/>
      <w:lvlText w:val="%1."/>
      <w:rPr>
        <w:color w:val="3370ff"/>
      </w:rPr>
    </w:lvl>
  </w:abstractNum>
  <w:abstractNum w:abstractNumId="1002981">
    <w:lvl>
      <w:numFmt w:val="bullet"/>
      <w:suff w:val="tab"/>
      <w:lvlText w:val="￮"/>
      <w:rPr>
        <w:color w:val="3370ff"/>
      </w:rPr>
    </w:lvl>
  </w:abstractNum>
  <w:abstractNum w:abstractNumId="1002982">
    <w:lvl>
      <w:numFmt w:val="bullet"/>
      <w:suff w:val="tab"/>
      <w:lvlText w:val="￮"/>
      <w:rPr>
        <w:color w:val="3370ff"/>
      </w:rPr>
    </w:lvl>
  </w:abstractNum>
  <w:abstractNum w:abstractNumId="1002983">
    <w:lvl>
      <w:numFmt w:val="bullet"/>
      <w:suff w:val="tab"/>
      <w:lvlText w:val="￮"/>
      <w:rPr>
        <w:color w:val="3370ff"/>
      </w:rPr>
    </w:lvl>
  </w:abstractNum>
  <w:abstractNum w:abstractNumId="1002984">
    <w:lvl>
      <w:numFmt w:val="bullet"/>
      <w:suff w:val="tab"/>
      <w:lvlText w:val="￮"/>
      <w:rPr>
        <w:color w:val="3370ff"/>
      </w:rPr>
    </w:lvl>
  </w:abstractNum>
  <w:abstractNum w:abstractNumId="1002985">
    <w:lvl>
      <w:start w:val="3"/>
      <w:numFmt w:val="decimal"/>
      <w:suff w:val="tab"/>
      <w:lvlText w:val="%1."/>
      <w:rPr>
        <w:color w:val="3370ff"/>
      </w:rPr>
    </w:lvl>
  </w:abstractNum>
  <w:abstractNum w:abstractNumId="1002986">
    <w:lvl>
      <w:numFmt w:val="bullet"/>
      <w:suff w:val="tab"/>
      <w:lvlText w:val="￮"/>
      <w:rPr>
        <w:color w:val="3370ff"/>
      </w:rPr>
    </w:lvl>
  </w:abstractNum>
  <w:abstractNum w:abstractNumId="1002987">
    <w:lvl>
      <w:numFmt w:val="bullet"/>
      <w:suff w:val="tab"/>
      <w:lvlText w:val="￮"/>
      <w:rPr>
        <w:color w:val="3370ff"/>
      </w:rPr>
    </w:lvl>
  </w:abstractNum>
  <w:abstractNum w:abstractNumId="1002988">
    <w:lvl>
      <w:numFmt w:val="bullet"/>
      <w:suff w:val="tab"/>
      <w:lvlText w:val="￮"/>
      <w:rPr>
        <w:color w:val="3370ff"/>
      </w:rPr>
    </w:lvl>
  </w:abstractNum>
  <w:abstractNum w:abstractNumId="1002989">
    <w:lvl>
      <w:numFmt w:val="bullet"/>
      <w:suff w:val="tab"/>
      <w:lvlText w:val="￮"/>
      <w:rPr>
        <w:color w:val="3370ff"/>
      </w:rPr>
    </w:lvl>
  </w:abstractNum>
  <w:abstractNum w:abstractNumId="1002990">
    <w:lvl>
      <w:numFmt w:val="bullet"/>
      <w:suff w:val="tab"/>
      <w:lvlText w:val="￮"/>
      <w:rPr>
        <w:color w:val="3370ff"/>
      </w:rPr>
    </w:lvl>
  </w:abstractNum>
  <w:abstractNum w:abstractNumId="1002991">
    <w:lvl>
      <w:start w:val="4"/>
      <w:numFmt w:val="decimal"/>
      <w:suff w:val="tab"/>
      <w:lvlText w:val="%1."/>
      <w:rPr>
        <w:color w:val="3370ff"/>
      </w:rPr>
    </w:lvl>
  </w:abstractNum>
  <w:abstractNum w:abstractNumId="1002992">
    <w:lvl>
      <w:numFmt w:val="bullet"/>
      <w:suff w:val="tab"/>
      <w:lvlText w:val="￮"/>
      <w:rPr>
        <w:color w:val="3370ff"/>
      </w:rPr>
    </w:lvl>
  </w:abstractNum>
  <w:abstractNum w:abstractNumId="1002993">
    <w:lvl>
      <w:numFmt w:val="bullet"/>
      <w:suff w:val="tab"/>
      <w:lvlText w:val="￮"/>
      <w:rPr>
        <w:color w:val="3370ff"/>
      </w:rPr>
    </w:lvl>
  </w:abstractNum>
  <w:abstractNum w:abstractNumId="1002994">
    <w:lvl>
      <w:numFmt w:val="bullet"/>
      <w:suff w:val="tab"/>
      <w:lvlText w:val="￮"/>
      <w:rPr>
        <w:color w:val="3370ff"/>
      </w:rPr>
    </w:lvl>
  </w:abstractNum>
  <w:abstractNum w:abstractNumId="1002995">
    <w:lvl>
      <w:numFmt w:val="bullet"/>
      <w:suff w:val="tab"/>
      <w:lvlText w:val="￮"/>
      <w:rPr>
        <w:color w:val="3370ff"/>
      </w:rPr>
    </w:lvl>
  </w:abstractNum>
  <w:abstractNum w:abstractNumId="1002996">
    <w:lvl>
      <w:numFmt w:val="bullet"/>
      <w:suff w:val="tab"/>
      <w:lvlText w:val="￮"/>
      <w:rPr>
        <w:color w:val="3370ff"/>
      </w:rPr>
    </w:lvl>
  </w:abstractNum>
  <w:abstractNum w:abstractNumId="1002997">
    <w:lvl>
      <w:start w:val="5"/>
      <w:numFmt w:val="decimal"/>
      <w:suff w:val="tab"/>
      <w:lvlText w:val="%1."/>
      <w:rPr>
        <w:color w:val="3370ff"/>
      </w:rPr>
    </w:lvl>
  </w:abstractNum>
  <w:abstractNum w:abstractNumId="1002998">
    <w:lvl>
      <w:numFmt w:val="bullet"/>
      <w:suff w:val="tab"/>
      <w:lvlText w:val="￮"/>
      <w:rPr>
        <w:color w:val="3370ff"/>
      </w:rPr>
    </w:lvl>
  </w:abstractNum>
  <w:abstractNum w:abstractNumId="1002999">
    <w:lvl>
      <w:numFmt w:val="bullet"/>
      <w:suff w:val="tab"/>
      <w:lvlText w:val="￮"/>
      <w:rPr>
        <w:color w:val="3370ff"/>
      </w:rPr>
    </w:lvl>
  </w:abstractNum>
  <w:abstractNum w:abstractNumId="1003000">
    <w:lvl>
      <w:numFmt w:val="bullet"/>
      <w:suff w:val="tab"/>
      <w:lvlText w:val="￮"/>
      <w:rPr>
        <w:color w:val="3370ff"/>
      </w:rPr>
    </w:lvl>
  </w:abstractNum>
  <w:abstractNum w:abstractNumId="1003001">
    <w:lvl>
      <w:numFmt w:val="bullet"/>
      <w:suff w:val="tab"/>
      <w:lvlText w:val="•"/>
      <w:rPr>
        <w:color w:val="3370ff"/>
      </w:rPr>
    </w:lvl>
  </w:abstractNum>
  <w:abstractNum w:abstractNumId="1003002">
    <w:lvl>
      <w:numFmt w:val="bullet"/>
      <w:suff w:val="tab"/>
      <w:lvlText w:val="•"/>
      <w:rPr>
        <w:color w:val="3370ff"/>
      </w:rPr>
    </w:lvl>
  </w:abstractNum>
  <w:abstractNum w:abstractNumId="1003003">
    <w:lvl>
      <w:numFmt w:val="bullet"/>
      <w:suff w:val="tab"/>
      <w:lvlText w:val="•"/>
      <w:rPr>
        <w:color w:val="3370ff"/>
      </w:rPr>
    </w:lvl>
  </w:abstractNum>
  <w:abstractNum w:abstractNumId="1003004">
    <w:lvl>
      <w:numFmt w:val="bullet"/>
      <w:suff w:val="tab"/>
      <w:lvlText w:val="•"/>
      <w:rPr>
        <w:color w:val="3370ff"/>
      </w:rPr>
    </w:lvl>
  </w:abstractNum>
  <w:abstractNum w:abstractNumId="1003005">
    <w:lvl>
      <w:numFmt w:val="bullet"/>
      <w:suff w:val="tab"/>
      <w:lvlText w:val="•"/>
      <w:rPr>
        <w:color w:val="3370ff"/>
      </w:rPr>
    </w:lvl>
  </w:abstractNum>
  <w:abstractNum w:abstractNumId="1003006">
    <w:lvl>
      <w:numFmt w:val="bullet"/>
      <w:suff w:val="tab"/>
      <w:lvlText w:val="•"/>
      <w:rPr>
        <w:color w:val="3370ff"/>
      </w:rPr>
    </w:lvl>
  </w:abstractNum>
  <w:abstractNum w:abstractNumId="1003007">
    <w:lvl>
      <w:numFmt w:val="bullet"/>
      <w:suff w:val="tab"/>
      <w:lvlText w:val="•"/>
      <w:rPr>
        <w:color w:val="3370ff"/>
      </w:rPr>
    </w:lvl>
  </w:abstractNum>
  <w:abstractNum w:abstractNumId="1003008">
    <w:lvl>
      <w:numFmt w:val="bullet"/>
      <w:suff w:val="tab"/>
      <w:lvlText w:val="•"/>
      <w:rPr>
        <w:color w:val="3370ff"/>
      </w:rPr>
    </w:lvl>
  </w:abstractNum>
  <w:abstractNum w:abstractNumId="1003009">
    <w:lvl>
      <w:numFmt w:val="bullet"/>
      <w:suff w:val="tab"/>
      <w:lvlText w:val="•"/>
      <w:rPr>
        <w:color w:val="3370ff"/>
      </w:rPr>
    </w:lvl>
  </w:abstractNum>
  <w:abstractNum w:abstractNumId="1003010">
    <w:lvl>
      <w:numFmt w:val="bullet"/>
      <w:suff w:val="tab"/>
      <w:lvlText w:val="•"/>
      <w:rPr>
        <w:color w:val="3370ff"/>
      </w:rPr>
    </w:lvl>
  </w:abstractNum>
  <w:abstractNum w:abstractNumId="1003011">
    <w:lvl>
      <w:numFmt w:val="bullet"/>
      <w:suff w:val="tab"/>
      <w:lvlText w:val="•"/>
      <w:rPr>
        <w:color w:val="3370ff"/>
      </w:rPr>
    </w:lvl>
  </w:abstractNum>
  <w:abstractNum w:abstractNumId="1003012">
    <w:lvl>
      <w:numFmt w:val="bullet"/>
      <w:suff w:val="tab"/>
      <w:lvlText w:val="•"/>
      <w:rPr>
        <w:color w:val="3370ff"/>
      </w:rPr>
    </w:lvl>
  </w:abstractNum>
  <w:abstractNum w:abstractNumId="1003013">
    <w:lvl>
      <w:numFmt w:val="bullet"/>
      <w:suff w:val="tab"/>
      <w:lvlText w:val="•"/>
      <w:rPr>
        <w:color w:val="3370ff"/>
      </w:rPr>
    </w:lvl>
  </w:abstractNum>
  <w:abstractNum w:abstractNumId="1003014">
    <w:lvl>
      <w:numFmt w:val="bullet"/>
      <w:suff w:val="tab"/>
      <w:lvlText w:val="•"/>
      <w:rPr>
        <w:color w:val="3370ff"/>
      </w:rPr>
    </w:lvl>
  </w:abstractNum>
  <w:abstractNum w:abstractNumId="1003015">
    <w:lvl>
      <w:numFmt w:val="bullet"/>
      <w:suff w:val="tab"/>
      <w:lvlText w:val="•"/>
      <w:rPr>
        <w:color w:val="3370ff"/>
      </w:rPr>
    </w:lvl>
  </w:abstractNum>
  <w:abstractNum w:abstractNumId="1003016">
    <w:lvl>
      <w:numFmt w:val="bullet"/>
      <w:suff w:val="tab"/>
      <w:lvlText w:val="•"/>
      <w:rPr>
        <w:color w:val="3370ff"/>
      </w:rPr>
    </w:lvl>
  </w:abstractNum>
  <w:abstractNum w:abstractNumId="1003017">
    <w:lvl>
      <w:numFmt w:val="bullet"/>
      <w:suff w:val="tab"/>
      <w:lvlText w:val="•"/>
      <w:rPr>
        <w:color w:val="3370ff"/>
      </w:rPr>
    </w:lvl>
  </w:abstractNum>
  <w:abstractNum w:abstractNumId="1003018">
    <w:lvl>
      <w:numFmt w:val="bullet"/>
      <w:suff w:val="tab"/>
      <w:lvlText w:val="•"/>
      <w:rPr>
        <w:color w:val="3370ff"/>
      </w:rPr>
    </w:lvl>
  </w:abstractNum>
  <w:abstractNum w:abstractNumId="1003019">
    <w:lvl>
      <w:numFmt w:val="bullet"/>
      <w:suff w:val="tab"/>
      <w:lvlText w:val="•"/>
      <w:rPr>
        <w:color w:val="3370ff"/>
      </w:rPr>
    </w:lvl>
  </w:abstractNum>
  <w:abstractNum w:abstractNumId="1003020">
    <w:lvl>
      <w:numFmt w:val="bullet"/>
      <w:suff w:val="tab"/>
      <w:lvlText w:val="•"/>
      <w:rPr>
        <w:color w:val="3370ff"/>
      </w:rPr>
    </w:lvl>
  </w:abstractNum>
  <w:abstractNum w:abstractNumId="1003021">
    <w:lvl>
      <w:numFmt w:val="bullet"/>
      <w:suff w:val="tab"/>
      <w:lvlText w:val="•"/>
      <w:rPr>
        <w:color w:val="3370ff"/>
      </w:rPr>
    </w:lvl>
  </w:abstractNum>
  <w:abstractNum w:abstractNumId="1003022">
    <w:lvl>
      <w:numFmt w:val="bullet"/>
      <w:suff w:val="tab"/>
      <w:lvlText w:val="•"/>
      <w:rPr>
        <w:color w:val="3370ff"/>
      </w:rPr>
    </w:lvl>
  </w:abstractNum>
  <w:abstractNum w:abstractNumId="1003023">
    <w:lvl>
      <w:numFmt w:val="bullet"/>
      <w:suff w:val="tab"/>
      <w:lvlText w:val="•"/>
      <w:rPr>
        <w:color w:val="3370ff"/>
      </w:rPr>
    </w:lvl>
  </w:abstractNum>
  <w:abstractNum w:abstractNumId="1003024">
    <w:lvl>
      <w:numFmt w:val="bullet"/>
      <w:suff w:val="tab"/>
      <w:lvlText w:val="•"/>
      <w:rPr>
        <w:color w:val="3370ff"/>
      </w:rPr>
    </w:lvl>
  </w:abstractNum>
  <w:abstractNum w:abstractNumId="1003025">
    <w:lvl>
      <w:numFmt w:val="bullet"/>
      <w:suff w:val="tab"/>
      <w:lvlText w:val="•"/>
      <w:rPr>
        <w:color w:val="3370ff"/>
      </w:rPr>
    </w:lvl>
  </w:abstractNum>
  <w:abstractNum w:abstractNumId="1003026">
    <w:lvl>
      <w:numFmt w:val="bullet"/>
      <w:suff w:val="tab"/>
      <w:lvlText w:val="•"/>
      <w:rPr>
        <w:color w:val="3370ff"/>
      </w:rPr>
    </w:lvl>
  </w:abstractNum>
  <w:abstractNum w:abstractNumId="1003027">
    <w:lvl>
      <w:numFmt w:val="bullet"/>
      <w:suff w:val="tab"/>
      <w:lvlText w:val="•"/>
      <w:rPr>
        <w:color w:val="3370ff"/>
      </w:rPr>
    </w:lvl>
  </w:abstractNum>
  <w:abstractNum w:abstractNumId="1003028">
    <w:lvl>
      <w:numFmt w:val="bullet"/>
      <w:suff w:val="tab"/>
      <w:lvlText w:val="•"/>
      <w:rPr>
        <w:color w:val="3370ff"/>
      </w:rPr>
    </w:lvl>
  </w:abstractNum>
  <w:abstractNum w:abstractNumId="1003029">
    <w:lvl>
      <w:numFmt w:val="bullet"/>
      <w:suff w:val="tab"/>
      <w:lvlText w:val="•"/>
      <w:rPr>
        <w:color w:val="3370ff"/>
      </w:rPr>
    </w:lvl>
  </w:abstractNum>
  <w:abstractNum w:abstractNumId="1003030">
    <w:lvl>
      <w:numFmt w:val="bullet"/>
      <w:suff w:val="tab"/>
      <w:lvlText w:val="•"/>
      <w:rPr>
        <w:color w:val="3370ff"/>
      </w:rPr>
    </w:lvl>
  </w:abstractNum>
  <w:abstractNum w:abstractNumId="1003031">
    <w:lvl>
      <w:numFmt w:val="bullet"/>
      <w:suff w:val="tab"/>
      <w:lvlText w:val="•"/>
      <w:rPr>
        <w:color w:val="3370ff"/>
      </w:rPr>
    </w:lvl>
  </w:abstractNum>
  <w:abstractNum w:abstractNumId="1003032">
    <w:lvl>
      <w:numFmt w:val="bullet"/>
      <w:suff w:val="tab"/>
      <w:lvlText w:val="•"/>
      <w:rPr>
        <w:color w:val="3370ff"/>
      </w:rPr>
    </w:lvl>
  </w:abstractNum>
  <w:abstractNum w:abstractNumId="1003033">
    <w:lvl>
      <w:numFmt w:val="bullet"/>
      <w:suff w:val="tab"/>
      <w:lvlText w:val="•"/>
      <w:rPr>
        <w:color w:val="3370ff"/>
      </w:rPr>
    </w:lvl>
  </w:abstractNum>
  <w:abstractNum w:abstractNumId="1003034">
    <w:lvl>
      <w:numFmt w:val="bullet"/>
      <w:suff w:val="tab"/>
      <w:lvlText w:val="•"/>
      <w:rPr>
        <w:color w:val="3370ff"/>
      </w:rPr>
    </w:lvl>
  </w:abstractNum>
  <w:abstractNum w:abstractNumId="1003035">
    <w:lvl>
      <w:numFmt w:val="bullet"/>
      <w:suff w:val="tab"/>
      <w:lvlText w:val="•"/>
      <w:rPr>
        <w:color w:val="3370ff"/>
      </w:rPr>
    </w:lvl>
  </w:abstractNum>
  <w:abstractNum w:abstractNumId="1003036">
    <w:lvl>
      <w:numFmt w:val="bullet"/>
      <w:suff w:val="tab"/>
      <w:lvlText w:val="•"/>
      <w:rPr>
        <w:color w:val="3370ff"/>
      </w:rPr>
    </w:lvl>
  </w:abstractNum>
  <w:abstractNum w:abstractNumId="1003037">
    <w:lvl>
      <w:numFmt w:val="bullet"/>
      <w:suff w:val="tab"/>
      <w:lvlText w:val="•"/>
      <w:rPr>
        <w:color w:val="3370ff"/>
      </w:rPr>
    </w:lvl>
  </w:abstractNum>
  <w:abstractNum w:abstractNumId="1003038">
    <w:lvl>
      <w:numFmt w:val="bullet"/>
      <w:suff w:val="tab"/>
      <w:lvlText w:val="•"/>
      <w:rPr>
        <w:color w:val="3370ff"/>
      </w:rPr>
    </w:lvl>
  </w:abstractNum>
  <w:num w:numId="1">
    <w:abstractNumId w:val="1002706"/>
  </w:num>
  <w:num w:numId="2">
    <w:abstractNumId w:val="1002707"/>
  </w:num>
  <w:num w:numId="3">
    <w:abstractNumId w:val="1002708"/>
  </w:num>
  <w:num w:numId="4">
    <w:abstractNumId w:val="1002709"/>
  </w:num>
  <w:num w:numId="5">
    <w:abstractNumId w:val="1002710"/>
  </w:num>
  <w:num w:numId="6">
    <w:abstractNumId w:val="1002711"/>
  </w:num>
  <w:num w:numId="7">
    <w:abstractNumId w:val="1002712"/>
  </w:num>
  <w:num w:numId="8">
    <w:abstractNumId w:val="1002713"/>
  </w:num>
  <w:num w:numId="9">
    <w:abstractNumId w:val="1002714"/>
  </w:num>
  <w:num w:numId="10">
    <w:abstractNumId w:val="1002715"/>
  </w:num>
  <w:num w:numId="11">
    <w:abstractNumId w:val="1002716"/>
  </w:num>
  <w:num w:numId="12">
    <w:abstractNumId w:val="1002717"/>
  </w:num>
  <w:num w:numId="13">
    <w:abstractNumId w:val="1002718"/>
  </w:num>
  <w:num w:numId="14">
    <w:abstractNumId w:val="1002719"/>
  </w:num>
  <w:num w:numId="15">
    <w:abstractNumId w:val="1002720"/>
  </w:num>
  <w:num w:numId="16">
    <w:abstractNumId w:val="1002721"/>
  </w:num>
  <w:num w:numId="17">
    <w:abstractNumId w:val="1002722"/>
  </w:num>
  <w:num w:numId="18">
    <w:abstractNumId w:val="1002723"/>
  </w:num>
  <w:num w:numId="19">
    <w:abstractNumId w:val="1002724"/>
  </w:num>
  <w:num w:numId="20">
    <w:abstractNumId w:val="1002725"/>
  </w:num>
  <w:num w:numId="21">
    <w:abstractNumId w:val="1002726"/>
  </w:num>
  <w:num w:numId="22">
    <w:abstractNumId w:val="1002727"/>
  </w:num>
  <w:num w:numId="23">
    <w:abstractNumId w:val="1002728"/>
  </w:num>
  <w:num w:numId="24">
    <w:abstractNumId w:val="1002729"/>
  </w:num>
  <w:num w:numId="25">
    <w:abstractNumId w:val="1002730"/>
  </w:num>
  <w:num w:numId="26">
    <w:abstractNumId w:val="1002731"/>
  </w:num>
  <w:num w:numId="27">
    <w:abstractNumId w:val="1002732"/>
  </w:num>
  <w:num w:numId="28">
    <w:abstractNumId w:val="1002733"/>
  </w:num>
  <w:num w:numId="29">
    <w:abstractNumId w:val="1002734"/>
  </w:num>
  <w:num w:numId="30">
    <w:abstractNumId w:val="1002735"/>
  </w:num>
  <w:num w:numId="31">
    <w:abstractNumId w:val="1002736"/>
  </w:num>
  <w:num w:numId="32">
    <w:abstractNumId w:val="1002737"/>
  </w:num>
  <w:num w:numId="33">
    <w:abstractNumId w:val="1002738"/>
  </w:num>
  <w:num w:numId="34">
    <w:abstractNumId w:val="1002739"/>
  </w:num>
  <w:num w:numId="35">
    <w:abstractNumId w:val="1002740"/>
  </w:num>
  <w:num w:numId="36">
    <w:abstractNumId w:val="1002741"/>
  </w:num>
  <w:num w:numId="37">
    <w:abstractNumId w:val="1002742"/>
  </w:num>
  <w:num w:numId="38">
    <w:abstractNumId w:val="1002743"/>
  </w:num>
  <w:num w:numId="39">
    <w:abstractNumId w:val="1002744"/>
  </w:num>
  <w:num w:numId="40">
    <w:abstractNumId w:val="1002745"/>
  </w:num>
  <w:num w:numId="41">
    <w:abstractNumId w:val="1002746"/>
  </w:num>
  <w:num w:numId="42">
    <w:abstractNumId w:val="1002747"/>
  </w:num>
  <w:num w:numId="43">
    <w:abstractNumId w:val="1002748"/>
  </w:num>
  <w:num w:numId="44">
    <w:abstractNumId w:val="1002749"/>
  </w:num>
  <w:num w:numId="45">
    <w:abstractNumId w:val="1002750"/>
  </w:num>
  <w:num w:numId="46">
    <w:abstractNumId w:val="1002751"/>
  </w:num>
  <w:num w:numId="47">
    <w:abstractNumId w:val="1002752"/>
  </w:num>
  <w:num w:numId="48">
    <w:abstractNumId w:val="1002753"/>
  </w:num>
  <w:num w:numId="49">
    <w:abstractNumId w:val="1002754"/>
  </w:num>
  <w:num w:numId="50">
    <w:abstractNumId w:val="1002755"/>
  </w:num>
  <w:num w:numId="51">
    <w:abstractNumId w:val="1002756"/>
  </w:num>
  <w:num w:numId="52">
    <w:abstractNumId w:val="1002757"/>
  </w:num>
  <w:num w:numId="53">
    <w:abstractNumId w:val="1002758"/>
  </w:num>
  <w:num w:numId="54">
    <w:abstractNumId w:val="1002759"/>
  </w:num>
  <w:num w:numId="55">
    <w:abstractNumId w:val="1002760"/>
  </w:num>
  <w:num w:numId="56">
    <w:abstractNumId w:val="1002761"/>
  </w:num>
  <w:num w:numId="57">
    <w:abstractNumId w:val="1002762"/>
  </w:num>
  <w:num w:numId="58">
    <w:abstractNumId w:val="1002763"/>
  </w:num>
  <w:num w:numId="59">
    <w:abstractNumId w:val="1002764"/>
  </w:num>
  <w:num w:numId="60">
    <w:abstractNumId w:val="1002765"/>
  </w:num>
  <w:num w:numId="61">
    <w:abstractNumId w:val="1002766"/>
  </w:num>
  <w:num w:numId="62">
    <w:abstractNumId w:val="1002767"/>
  </w:num>
  <w:num w:numId="63">
    <w:abstractNumId w:val="1002768"/>
  </w:num>
  <w:num w:numId="64">
    <w:abstractNumId w:val="1002769"/>
  </w:num>
  <w:num w:numId="65">
    <w:abstractNumId w:val="1002770"/>
  </w:num>
  <w:num w:numId="66">
    <w:abstractNumId w:val="1002771"/>
  </w:num>
  <w:num w:numId="67">
    <w:abstractNumId w:val="1002772"/>
  </w:num>
  <w:num w:numId="68">
    <w:abstractNumId w:val="1002773"/>
  </w:num>
  <w:num w:numId="69">
    <w:abstractNumId w:val="1002774"/>
  </w:num>
  <w:num w:numId="70">
    <w:abstractNumId w:val="1002775"/>
  </w:num>
  <w:num w:numId="71">
    <w:abstractNumId w:val="1002776"/>
  </w:num>
  <w:num w:numId="72">
    <w:abstractNumId w:val="1002777"/>
  </w:num>
  <w:num w:numId="73">
    <w:abstractNumId w:val="1002778"/>
  </w:num>
  <w:num w:numId="74">
    <w:abstractNumId w:val="1002779"/>
  </w:num>
  <w:num w:numId="75">
    <w:abstractNumId w:val="1002780"/>
  </w:num>
  <w:num w:numId="76">
    <w:abstractNumId w:val="1002781"/>
  </w:num>
  <w:num w:numId="77">
    <w:abstractNumId w:val="1002782"/>
  </w:num>
  <w:num w:numId="78">
    <w:abstractNumId w:val="1002783"/>
  </w:num>
  <w:num w:numId="79">
    <w:abstractNumId w:val="1002784"/>
  </w:num>
  <w:num w:numId="80">
    <w:abstractNumId w:val="1002785"/>
  </w:num>
  <w:num w:numId="81">
    <w:abstractNumId w:val="1002786"/>
  </w:num>
  <w:num w:numId="82">
    <w:abstractNumId w:val="1002787"/>
  </w:num>
  <w:num w:numId="83">
    <w:abstractNumId w:val="1002788"/>
  </w:num>
  <w:num w:numId="84">
    <w:abstractNumId w:val="1002789"/>
  </w:num>
  <w:num w:numId="85">
    <w:abstractNumId w:val="1002790"/>
  </w:num>
  <w:num w:numId="86">
    <w:abstractNumId w:val="1002791"/>
  </w:num>
  <w:num w:numId="87">
    <w:abstractNumId w:val="1002792"/>
  </w:num>
  <w:num w:numId="88">
    <w:abstractNumId w:val="1002793"/>
  </w:num>
  <w:num w:numId="89">
    <w:abstractNumId w:val="1002794"/>
  </w:num>
  <w:num w:numId="90">
    <w:abstractNumId w:val="1002795"/>
  </w:num>
  <w:num w:numId="91">
    <w:abstractNumId w:val="1002796"/>
  </w:num>
  <w:num w:numId="92">
    <w:abstractNumId w:val="1002797"/>
  </w:num>
  <w:num w:numId="93">
    <w:abstractNumId w:val="1002798"/>
  </w:num>
  <w:num w:numId="94">
    <w:abstractNumId w:val="1002799"/>
  </w:num>
  <w:num w:numId="95">
    <w:abstractNumId w:val="1002800"/>
  </w:num>
  <w:num w:numId="96">
    <w:abstractNumId w:val="1002801"/>
  </w:num>
  <w:num w:numId="97">
    <w:abstractNumId w:val="1002802"/>
  </w:num>
  <w:num w:numId="98">
    <w:abstractNumId w:val="1002803"/>
  </w:num>
  <w:num w:numId="99">
    <w:abstractNumId w:val="1002804"/>
  </w:num>
  <w:num w:numId="100">
    <w:abstractNumId w:val="1002805"/>
  </w:num>
  <w:num w:numId="101">
    <w:abstractNumId w:val="1002806"/>
  </w:num>
  <w:num w:numId="102">
    <w:abstractNumId w:val="1002807"/>
  </w:num>
  <w:num w:numId="103">
    <w:abstractNumId w:val="1002808"/>
  </w:num>
  <w:num w:numId="104">
    <w:abstractNumId w:val="1002809"/>
  </w:num>
  <w:num w:numId="105">
    <w:abstractNumId w:val="1002810"/>
  </w:num>
  <w:num w:numId="106">
    <w:abstractNumId w:val="1002811"/>
  </w:num>
  <w:num w:numId="107">
    <w:abstractNumId w:val="1002812"/>
  </w:num>
  <w:num w:numId="108">
    <w:abstractNumId w:val="1002813"/>
  </w:num>
  <w:num w:numId="109">
    <w:abstractNumId w:val="1002814"/>
  </w:num>
  <w:num w:numId="110">
    <w:abstractNumId w:val="1002815"/>
  </w:num>
  <w:num w:numId="111">
    <w:abstractNumId w:val="1002816"/>
  </w:num>
  <w:num w:numId="112">
    <w:abstractNumId w:val="1002817"/>
  </w:num>
  <w:num w:numId="113">
    <w:abstractNumId w:val="1002818"/>
  </w:num>
  <w:num w:numId="114">
    <w:abstractNumId w:val="1002819"/>
  </w:num>
  <w:num w:numId="115">
    <w:abstractNumId w:val="1002820"/>
  </w:num>
  <w:num w:numId="116">
    <w:abstractNumId w:val="1002821"/>
  </w:num>
  <w:num w:numId="117">
    <w:abstractNumId w:val="1002822"/>
  </w:num>
  <w:num w:numId="118">
    <w:abstractNumId w:val="1002823"/>
  </w:num>
  <w:num w:numId="119">
    <w:abstractNumId w:val="1002824"/>
  </w:num>
  <w:num w:numId="120">
    <w:abstractNumId w:val="1002825"/>
  </w:num>
  <w:num w:numId="121">
    <w:abstractNumId w:val="1002826"/>
  </w:num>
  <w:num w:numId="122">
    <w:abstractNumId w:val="1002827"/>
  </w:num>
  <w:num w:numId="123">
    <w:abstractNumId w:val="1002828"/>
  </w:num>
  <w:num w:numId="124">
    <w:abstractNumId w:val="1002829"/>
  </w:num>
  <w:num w:numId="125">
    <w:abstractNumId w:val="1002830"/>
  </w:num>
  <w:num w:numId="126">
    <w:abstractNumId w:val="1002831"/>
  </w:num>
  <w:num w:numId="127">
    <w:abstractNumId w:val="1002832"/>
  </w:num>
  <w:num w:numId="128">
    <w:abstractNumId w:val="1002833"/>
  </w:num>
  <w:num w:numId="129">
    <w:abstractNumId w:val="1002834"/>
  </w:num>
  <w:num w:numId="130">
    <w:abstractNumId w:val="1002835"/>
  </w:num>
  <w:num w:numId="131">
    <w:abstractNumId w:val="1002836"/>
  </w:num>
  <w:num w:numId="132">
    <w:abstractNumId w:val="1002837"/>
  </w:num>
  <w:num w:numId="133">
    <w:abstractNumId w:val="1002838"/>
  </w:num>
  <w:num w:numId="134">
    <w:abstractNumId w:val="1002839"/>
  </w:num>
  <w:num w:numId="135">
    <w:abstractNumId w:val="1002840"/>
  </w:num>
  <w:num w:numId="136">
    <w:abstractNumId w:val="1002841"/>
  </w:num>
  <w:num w:numId="137">
    <w:abstractNumId w:val="1002842"/>
  </w:num>
  <w:num w:numId="138">
    <w:abstractNumId w:val="1002843"/>
  </w:num>
  <w:num w:numId="139">
    <w:abstractNumId w:val="1002844"/>
  </w:num>
  <w:num w:numId="140">
    <w:abstractNumId w:val="1002845"/>
  </w:num>
  <w:num w:numId="141">
    <w:abstractNumId w:val="1002846"/>
  </w:num>
  <w:num w:numId="142">
    <w:abstractNumId w:val="1002847"/>
  </w:num>
  <w:num w:numId="143">
    <w:abstractNumId w:val="1002848"/>
  </w:num>
  <w:num w:numId="144">
    <w:abstractNumId w:val="1002849"/>
  </w:num>
  <w:num w:numId="145">
    <w:abstractNumId w:val="1002850"/>
  </w:num>
  <w:num w:numId="146">
    <w:abstractNumId w:val="1002851"/>
  </w:num>
  <w:num w:numId="147">
    <w:abstractNumId w:val="1002852"/>
  </w:num>
  <w:num w:numId="148">
    <w:abstractNumId w:val="1002853"/>
  </w:num>
  <w:num w:numId="149">
    <w:abstractNumId w:val="1002854"/>
  </w:num>
  <w:num w:numId="150">
    <w:abstractNumId w:val="1002855"/>
  </w:num>
  <w:num w:numId="151">
    <w:abstractNumId w:val="1002856"/>
  </w:num>
  <w:num w:numId="152">
    <w:abstractNumId w:val="1002857"/>
  </w:num>
  <w:num w:numId="153">
    <w:abstractNumId w:val="1002858"/>
  </w:num>
  <w:num w:numId="154">
    <w:abstractNumId w:val="1002859"/>
  </w:num>
  <w:num w:numId="155">
    <w:abstractNumId w:val="1002860"/>
  </w:num>
  <w:num w:numId="156">
    <w:abstractNumId w:val="1002861"/>
  </w:num>
  <w:num w:numId="157">
    <w:abstractNumId w:val="1002862"/>
  </w:num>
  <w:num w:numId="158">
    <w:abstractNumId w:val="1002863"/>
  </w:num>
  <w:num w:numId="159">
    <w:abstractNumId w:val="1002864"/>
  </w:num>
  <w:num w:numId="160">
    <w:abstractNumId w:val="1002865"/>
  </w:num>
  <w:num w:numId="161">
    <w:abstractNumId w:val="1002866"/>
  </w:num>
  <w:num w:numId="162">
    <w:abstractNumId w:val="1002867"/>
  </w:num>
  <w:num w:numId="163">
    <w:abstractNumId w:val="1002868"/>
  </w:num>
  <w:num w:numId="164">
    <w:abstractNumId w:val="1002869"/>
  </w:num>
  <w:num w:numId="165">
    <w:abstractNumId w:val="1002870"/>
  </w:num>
  <w:num w:numId="166">
    <w:abstractNumId w:val="1002871"/>
  </w:num>
  <w:num w:numId="167">
    <w:abstractNumId w:val="1002872"/>
  </w:num>
  <w:num w:numId="168">
    <w:abstractNumId w:val="1002873"/>
  </w:num>
  <w:num w:numId="169">
    <w:abstractNumId w:val="1002874"/>
  </w:num>
  <w:num w:numId="170">
    <w:abstractNumId w:val="1002875"/>
  </w:num>
  <w:num w:numId="171">
    <w:abstractNumId w:val="1002876"/>
  </w:num>
  <w:num w:numId="172">
    <w:abstractNumId w:val="1002877"/>
  </w:num>
  <w:num w:numId="173">
    <w:abstractNumId w:val="1002878"/>
  </w:num>
  <w:num w:numId="174">
    <w:abstractNumId w:val="1002879"/>
  </w:num>
  <w:num w:numId="175">
    <w:abstractNumId w:val="1002880"/>
  </w:num>
  <w:num w:numId="176">
    <w:abstractNumId w:val="1002881"/>
  </w:num>
  <w:num w:numId="177">
    <w:abstractNumId w:val="1002882"/>
  </w:num>
  <w:num w:numId="178">
    <w:abstractNumId w:val="1002883"/>
  </w:num>
  <w:num w:numId="179">
    <w:abstractNumId w:val="1002884"/>
  </w:num>
  <w:num w:numId="180">
    <w:abstractNumId w:val="1002885"/>
  </w:num>
  <w:num w:numId="181">
    <w:abstractNumId w:val="1002886"/>
  </w:num>
  <w:num w:numId="182">
    <w:abstractNumId w:val="1002887"/>
  </w:num>
  <w:num w:numId="183">
    <w:abstractNumId w:val="1002888"/>
  </w:num>
  <w:num w:numId="184">
    <w:abstractNumId w:val="1002889"/>
  </w:num>
  <w:num w:numId="185">
    <w:abstractNumId w:val="1002890"/>
  </w:num>
  <w:num w:numId="186">
    <w:abstractNumId w:val="1002891"/>
  </w:num>
  <w:num w:numId="187">
    <w:abstractNumId w:val="1002892"/>
  </w:num>
  <w:num w:numId="188">
    <w:abstractNumId w:val="1002893"/>
  </w:num>
  <w:num w:numId="189">
    <w:abstractNumId w:val="1002894"/>
  </w:num>
  <w:num w:numId="190">
    <w:abstractNumId w:val="1002895"/>
  </w:num>
  <w:num w:numId="191">
    <w:abstractNumId w:val="1002896"/>
  </w:num>
  <w:num w:numId="192">
    <w:abstractNumId w:val="1002897"/>
  </w:num>
  <w:num w:numId="193">
    <w:abstractNumId w:val="1002898"/>
  </w:num>
  <w:num w:numId="194">
    <w:abstractNumId w:val="1002899"/>
  </w:num>
  <w:num w:numId="195">
    <w:abstractNumId w:val="1002900"/>
  </w:num>
  <w:num w:numId="196">
    <w:abstractNumId w:val="1002901"/>
  </w:num>
  <w:num w:numId="197">
    <w:abstractNumId w:val="1002902"/>
  </w:num>
  <w:num w:numId="198">
    <w:abstractNumId w:val="1002903"/>
  </w:num>
  <w:num w:numId="199">
    <w:abstractNumId w:val="1002904"/>
  </w:num>
  <w:num w:numId="200">
    <w:abstractNumId w:val="1002905"/>
  </w:num>
  <w:num w:numId="201">
    <w:abstractNumId w:val="1002906"/>
  </w:num>
  <w:num w:numId="202">
    <w:abstractNumId w:val="1002907"/>
  </w:num>
  <w:num w:numId="203">
    <w:abstractNumId w:val="1002908"/>
  </w:num>
  <w:num w:numId="204">
    <w:abstractNumId w:val="1002909"/>
  </w:num>
  <w:num w:numId="205">
    <w:abstractNumId w:val="1002910"/>
  </w:num>
  <w:num w:numId="206">
    <w:abstractNumId w:val="1002911"/>
  </w:num>
  <w:num w:numId="207">
    <w:abstractNumId w:val="1002912"/>
  </w:num>
  <w:num w:numId="208">
    <w:abstractNumId w:val="1002913"/>
  </w:num>
  <w:num w:numId="209">
    <w:abstractNumId w:val="1002914"/>
  </w:num>
  <w:num w:numId="210">
    <w:abstractNumId w:val="1002915"/>
  </w:num>
  <w:num w:numId="211">
    <w:abstractNumId w:val="1002916"/>
  </w:num>
  <w:num w:numId="212">
    <w:abstractNumId w:val="1002917"/>
  </w:num>
  <w:num w:numId="213">
    <w:abstractNumId w:val="1002918"/>
  </w:num>
  <w:num w:numId="214">
    <w:abstractNumId w:val="1002919"/>
  </w:num>
  <w:num w:numId="215">
    <w:abstractNumId w:val="1002920"/>
  </w:num>
  <w:num w:numId="216">
    <w:abstractNumId w:val="1002921"/>
  </w:num>
  <w:num w:numId="217">
    <w:abstractNumId w:val="1002922"/>
  </w:num>
  <w:num w:numId="218">
    <w:abstractNumId w:val="1002923"/>
  </w:num>
  <w:num w:numId="219">
    <w:abstractNumId w:val="1002924"/>
  </w:num>
  <w:num w:numId="220">
    <w:abstractNumId w:val="1002925"/>
  </w:num>
  <w:num w:numId="221">
    <w:abstractNumId w:val="1002926"/>
  </w:num>
  <w:num w:numId="222">
    <w:abstractNumId w:val="1002927"/>
  </w:num>
  <w:num w:numId="223">
    <w:abstractNumId w:val="1002928"/>
  </w:num>
  <w:num w:numId="224">
    <w:abstractNumId w:val="1002929"/>
  </w:num>
  <w:num w:numId="225">
    <w:abstractNumId w:val="1002930"/>
  </w:num>
  <w:num w:numId="226">
    <w:abstractNumId w:val="1002931"/>
  </w:num>
  <w:num w:numId="227">
    <w:abstractNumId w:val="1002932"/>
  </w:num>
  <w:num w:numId="228">
    <w:abstractNumId w:val="1002933"/>
  </w:num>
  <w:num w:numId="229">
    <w:abstractNumId w:val="1002934"/>
  </w:num>
  <w:num w:numId="230">
    <w:abstractNumId w:val="1002935"/>
  </w:num>
  <w:num w:numId="231">
    <w:abstractNumId w:val="1002936"/>
  </w:num>
  <w:num w:numId="232">
    <w:abstractNumId w:val="1002937"/>
  </w:num>
  <w:num w:numId="233">
    <w:abstractNumId w:val="1002938"/>
  </w:num>
  <w:num w:numId="234">
    <w:abstractNumId w:val="1002939"/>
  </w:num>
  <w:num w:numId="235">
    <w:abstractNumId w:val="1002940"/>
  </w:num>
  <w:num w:numId="236">
    <w:abstractNumId w:val="1002941"/>
  </w:num>
  <w:num w:numId="237">
    <w:abstractNumId w:val="1002942"/>
  </w:num>
  <w:num w:numId="238">
    <w:abstractNumId w:val="1002943"/>
  </w:num>
  <w:num w:numId="239">
    <w:abstractNumId w:val="1002944"/>
  </w:num>
  <w:num w:numId="240">
    <w:abstractNumId w:val="1002945"/>
  </w:num>
  <w:num w:numId="241">
    <w:abstractNumId w:val="1002946"/>
  </w:num>
  <w:num w:numId="242">
    <w:abstractNumId w:val="1002947"/>
  </w:num>
  <w:num w:numId="243">
    <w:abstractNumId w:val="1002948"/>
  </w:num>
  <w:num w:numId="244">
    <w:abstractNumId w:val="1002949"/>
  </w:num>
  <w:num w:numId="245">
    <w:abstractNumId w:val="1002950"/>
  </w:num>
  <w:num w:numId="246">
    <w:abstractNumId w:val="1002951"/>
  </w:num>
  <w:num w:numId="247">
    <w:abstractNumId w:val="1002952"/>
  </w:num>
  <w:num w:numId="248">
    <w:abstractNumId w:val="1002953"/>
  </w:num>
  <w:num w:numId="249">
    <w:abstractNumId w:val="1002954"/>
  </w:num>
  <w:num w:numId="250">
    <w:abstractNumId w:val="1002955"/>
  </w:num>
  <w:num w:numId="251">
    <w:abstractNumId w:val="1002956"/>
  </w:num>
  <w:num w:numId="252">
    <w:abstractNumId w:val="1002957"/>
  </w:num>
  <w:num w:numId="253">
    <w:abstractNumId w:val="1002958"/>
  </w:num>
  <w:num w:numId="254">
    <w:abstractNumId w:val="1002959"/>
  </w:num>
  <w:num w:numId="255">
    <w:abstractNumId w:val="1002960"/>
  </w:num>
  <w:num w:numId="256">
    <w:abstractNumId w:val="1002961"/>
  </w:num>
  <w:num w:numId="257">
    <w:abstractNumId w:val="1002962"/>
  </w:num>
  <w:num w:numId="258">
    <w:abstractNumId w:val="1002963"/>
  </w:num>
  <w:num w:numId="259">
    <w:abstractNumId w:val="1002964"/>
  </w:num>
  <w:num w:numId="260">
    <w:abstractNumId w:val="1002965"/>
  </w:num>
  <w:num w:numId="261">
    <w:abstractNumId w:val="1002966"/>
  </w:num>
  <w:num w:numId="262">
    <w:abstractNumId w:val="1002967"/>
  </w:num>
  <w:num w:numId="263">
    <w:abstractNumId w:val="1002968"/>
  </w:num>
  <w:num w:numId="264">
    <w:abstractNumId w:val="1002969"/>
  </w:num>
  <w:num w:numId="265">
    <w:abstractNumId w:val="1002970"/>
  </w:num>
  <w:num w:numId="266">
    <w:abstractNumId w:val="1002971"/>
  </w:num>
  <w:num w:numId="267">
    <w:abstractNumId w:val="1002972"/>
  </w:num>
  <w:num w:numId="268">
    <w:abstractNumId w:val="1002973"/>
  </w:num>
  <w:num w:numId="269">
    <w:abstractNumId w:val="1002974"/>
  </w:num>
  <w:num w:numId="270">
    <w:abstractNumId w:val="1002975"/>
  </w:num>
  <w:num w:numId="271">
    <w:abstractNumId w:val="1002976"/>
  </w:num>
  <w:num w:numId="272">
    <w:abstractNumId w:val="1002977"/>
  </w:num>
  <w:num w:numId="273">
    <w:abstractNumId w:val="1002978"/>
  </w:num>
  <w:num w:numId="274">
    <w:abstractNumId w:val="1002979"/>
  </w:num>
  <w:num w:numId="275">
    <w:abstractNumId w:val="1002980"/>
  </w:num>
  <w:num w:numId="276">
    <w:abstractNumId w:val="1002981"/>
  </w:num>
  <w:num w:numId="277">
    <w:abstractNumId w:val="1002982"/>
  </w:num>
  <w:num w:numId="278">
    <w:abstractNumId w:val="1002983"/>
  </w:num>
  <w:num w:numId="279">
    <w:abstractNumId w:val="1002984"/>
  </w:num>
  <w:num w:numId="280">
    <w:abstractNumId w:val="1002985"/>
  </w:num>
  <w:num w:numId="281">
    <w:abstractNumId w:val="1002986"/>
  </w:num>
  <w:num w:numId="282">
    <w:abstractNumId w:val="1002987"/>
  </w:num>
  <w:num w:numId="283">
    <w:abstractNumId w:val="1002988"/>
  </w:num>
  <w:num w:numId="284">
    <w:abstractNumId w:val="1002989"/>
  </w:num>
  <w:num w:numId="285">
    <w:abstractNumId w:val="1002990"/>
  </w:num>
  <w:num w:numId="286">
    <w:abstractNumId w:val="1002991"/>
  </w:num>
  <w:num w:numId="287">
    <w:abstractNumId w:val="1002992"/>
  </w:num>
  <w:num w:numId="288">
    <w:abstractNumId w:val="1002993"/>
  </w:num>
  <w:num w:numId="289">
    <w:abstractNumId w:val="1002994"/>
  </w:num>
  <w:num w:numId="290">
    <w:abstractNumId w:val="1002995"/>
  </w:num>
  <w:num w:numId="291">
    <w:abstractNumId w:val="1002996"/>
  </w:num>
  <w:num w:numId="292">
    <w:abstractNumId w:val="1002997"/>
  </w:num>
  <w:num w:numId="293">
    <w:abstractNumId w:val="1002998"/>
  </w:num>
  <w:num w:numId="294">
    <w:abstractNumId w:val="1002999"/>
  </w:num>
  <w:num w:numId="295">
    <w:abstractNumId w:val="1003000"/>
  </w:num>
  <w:num w:numId="296">
    <w:abstractNumId w:val="1003001"/>
  </w:num>
  <w:num w:numId="297">
    <w:abstractNumId w:val="1003002"/>
  </w:num>
  <w:num w:numId="298">
    <w:abstractNumId w:val="1003003"/>
  </w:num>
  <w:num w:numId="299">
    <w:abstractNumId w:val="1003004"/>
  </w:num>
  <w:num w:numId="300">
    <w:abstractNumId w:val="1003005"/>
  </w:num>
  <w:num w:numId="301">
    <w:abstractNumId w:val="1003006"/>
  </w:num>
  <w:num w:numId="302">
    <w:abstractNumId w:val="1003007"/>
  </w:num>
  <w:num w:numId="303">
    <w:abstractNumId w:val="1003008"/>
  </w:num>
  <w:num w:numId="304">
    <w:abstractNumId w:val="1003009"/>
  </w:num>
  <w:num w:numId="305">
    <w:abstractNumId w:val="1003010"/>
  </w:num>
  <w:num w:numId="306">
    <w:abstractNumId w:val="1003011"/>
  </w:num>
  <w:num w:numId="307">
    <w:abstractNumId w:val="1003012"/>
  </w:num>
  <w:num w:numId="308">
    <w:abstractNumId w:val="1003013"/>
  </w:num>
  <w:num w:numId="309">
    <w:abstractNumId w:val="1003014"/>
  </w:num>
  <w:num w:numId="310">
    <w:abstractNumId w:val="1003015"/>
  </w:num>
  <w:num w:numId="311">
    <w:abstractNumId w:val="1003016"/>
  </w:num>
  <w:num w:numId="312">
    <w:abstractNumId w:val="1003017"/>
  </w:num>
  <w:num w:numId="313">
    <w:abstractNumId w:val="1003018"/>
  </w:num>
  <w:num w:numId="314">
    <w:abstractNumId w:val="1003019"/>
  </w:num>
  <w:num w:numId="315">
    <w:abstractNumId w:val="1003020"/>
  </w:num>
  <w:num w:numId="316">
    <w:abstractNumId w:val="1003021"/>
  </w:num>
  <w:num w:numId="317">
    <w:abstractNumId w:val="1003022"/>
  </w:num>
  <w:num w:numId="318">
    <w:abstractNumId w:val="1003023"/>
  </w:num>
  <w:num w:numId="319">
    <w:abstractNumId w:val="1003024"/>
  </w:num>
  <w:num w:numId="320">
    <w:abstractNumId w:val="1003025"/>
  </w:num>
  <w:num w:numId="321">
    <w:abstractNumId w:val="1003026"/>
  </w:num>
  <w:num w:numId="322">
    <w:abstractNumId w:val="1003027"/>
  </w:num>
  <w:num w:numId="323">
    <w:abstractNumId w:val="1003028"/>
  </w:num>
  <w:num w:numId="324">
    <w:abstractNumId w:val="1003029"/>
  </w:num>
  <w:num w:numId="325">
    <w:abstractNumId w:val="1003030"/>
  </w:num>
  <w:num w:numId="326">
    <w:abstractNumId w:val="1003031"/>
  </w:num>
  <w:num w:numId="327">
    <w:abstractNumId w:val="1003032"/>
  </w:num>
  <w:num w:numId="328">
    <w:abstractNumId w:val="1003033"/>
  </w:num>
  <w:num w:numId="329">
    <w:abstractNumId w:val="1003034"/>
  </w:num>
  <w:num w:numId="330">
    <w:abstractNumId w:val="1003035"/>
  </w:num>
  <w:num w:numId="331">
    <w:abstractNumId w:val="1003036"/>
  </w:num>
  <w:num w:numId="332">
    <w:abstractNumId w:val="1003037"/>
  </w:num>
  <w:num w:numId="333">
    <w:abstractNumId w:val="100303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00" Target="embeddings/Microsoft_Excel_Worksheet47.xlsx" Type="http://schemas.openxmlformats.org/officeDocument/2006/relationships/package"/><Relationship Id="rId101" Target="media/image47.png" Type="http://schemas.openxmlformats.org/officeDocument/2006/relationships/image"/><Relationship Id="rId102" Target="embeddings/Microsoft_Excel_Worksheet48.xlsx" Type="http://schemas.openxmlformats.org/officeDocument/2006/relationships/package"/><Relationship Id="rId103" Target="media/image48.png" Type="http://schemas.openxmlformats.org/officeDocument/2006/relationships/image"/><Relationship Id="rId104" Target="embeddings/Microsoft_Excel_Worksheet49.xlsx" Type="http://schemas.openxmlformats.org/officeDocument/2006/relationships/package"/><Relationship Id="rId105" Target="media/image49.png" Type="http://schemas.openxmlformats.org/officeDocument/2006/relationships/image"/><Relationship Id="rId106" Target="embeddings/Microsoft_Excel_Worksheet50.xlsx" Type="http://schemas.openxmlformats.org/officeDocument/2006/relationships/package"/><Relationship Id="rId107" Target="media/image50.png" Type="http://schemas.openxmlformats.org/officeDocument/2006/relationships/image"/><Relationship Id="rId108" Target="embeddings/Microsoft_Excel_Worksheet51.xlsx" Type="http://schemas.openxmlformats.org/officeDocument/2006/relationships/package"/><Relationship Id="rId109" Target="media/image51.png" Type="http://schemas.openxmlformats.org/officeDocument/2006/relationships/image"/><Relationship Id="rId11" Target="media/image3.png" Type="http://schemas.openxmlformats.org/officeDocument/2006/relationships/image"/><Relationship Id="rId110" Target="embeddings/Microsoft_Excel_Worksheet52.xlsx" Type="http://schemas.openxmlformats.org/officeDocument/2006/relationships/package"/><Relationship Id="rId111" Target="media/image52.png" Type="http://schemas.openxmlformats.org/officeDocument/2006/relationships/image"/><Relationship Id="rId112" Target="embeddings/Microsoft_Excel_Worksheet53.xlsx" Type="http://schemas.openxmlformats.org/officeDocument/2006/relationships/package"/><Relationship Id="rId113" Target="media/image53.png" Type="http://schemas.openxmlformats.org/officeDocument/2006/relationships/image"/><Relationship Id="rId114" Target="embeddings/Microsoft_Excel_Worksheet54.xlsx" Type="http://schemas.openxmlformats.org/officeDocument/2006/relationships/package"/><Relationship Id="rId115" Target="media/image54.png" Type="http://schemas.openxmlformats.org/officeDocument/2006/relationships/image"/><Relationship Id="rId116" Target="embeddings/Microsoft_Excel_Worksheet55.xlsx" Type="http://schemas.openxmlformats.org/officeDocument/2006/relationships/package"/><Relationship Id="rId117" Target="media/image55.png" Type="http://schemas.openxmlformats.org/officeDocument/2006/relationships/image"/><Relationship Id="rId118" Target="embeddings/Microsoft_Excel_Worksheet56.xlsx" Type="http://schemas.openxmlformats.org/officeDocument/2006/relationships/package"/><Relationship Id="rId119" Target="media/image56.png" Type="http://schemas.openxmlformats.org/officeDocument/2006/relationships/image"/><Relationship Id="rId12" Target="embeddings/Microsoft_Excel_Worksheet4.xlsx" Type="http://schemas.openxmlformats.org/officeDocument/2006/relationships/package"/><Relationship Id="rId120" Target="embeddings/Microsoft_Excel_Worksheet57.xlsx" Type="http://schemas.openxmlformats.org/officeDocument/2006/relationships/package"/><Relationship Id="rId121" Target="media/image57.png" Type="http://schemas.openxmlformats.org/officeDocument/2006/relationships/image"/><Relationship Id="rId122" Target="embeddings/Microsoft_Excel_Worksheet58.xlsx" Type="http://schemas.openxmlformats.org/officeDocument/2006/relationships/package"/><Relationship Id="rId123" Target="media/image58.png" Type="http://schemas.openxmlformats.org/officeDocument/2006/relationships/image"/><Relationship Id="rId124" Target="embeddings/Microsoft_Excel_Worksheet59.xlsx" Type="http://schemas.openxmlformats.org/officeDocument/2006/relationships/package"/><Relationship Id="rId125" Target="media/image59.png" Type="http://schemas.openxmlformats.org/officeDocument/2006/relationships/image"/><Relationship Id="rId126" Target="embeddings/Microsoft_Excel_Worksheet60.xlsx" Type="http://schemas.openxmlformats.org/officeDocument/2006/relationships/package"/><Relationship Id="rId127" Target="media/image60.png" Type="http://schemas.openxmlformats.org/officeDocument/2006/relationships/image"/><Relationship Id="rId128" Target="embeddings/Microsoft_Excel_Worksheet61.xlsx" Type="http://schemas.openxmlformats.org/officeDocument/2006/relationships/package"/><Relationship Id="rId129" Target="media/image61.png" Type="http://schemas.openxmlformats.org/officeDocument/2006/relationships/image"/><Relationship Id="rId13" Target="media/image4.png" Type="http://schemas.openxmlformats.org/officeDocument/2006/relationships/image"/><Relationship Id="rId130" Target="embeddings/Microsoft_Excel_Worksheet62.xlsx" Type="http://schemas.openxmlformats.org/officeDocument/2006/relationships/package"/><Relationship Id="rId131" Target="media/image62.png" Type="http://schemas.openxmlformats.org/officeDocument/2006/relationships/image"/><Relationship Id="rId132" Target="embeddings/Microsoft_Excel_Worksheet63.xlsx" Type="http://schemas.openxmlformats.org/officeDocument/2006/relationships/package"/><Relationship Id="rId133" Target="media/image63.png" Type="http://schemas.openxmlformats.org/officeDocument/2006/relationships/image"/><Relationship Id="rId134" Target="embeddings/Microsoft_Excel_Worksheet64.xlsx" Type="http://schemas.openxmlformats.org/officeDocument/2006/relationships/package"/><Relationship Id="rId135" Target="media/image64.png" Type="http://schemas.openxmlformats.org/officeDocument/2006/relationships/image"/><Relationship Id="rId136" Target="embeddings/Microsoft_Excel_Worksheet65.xlsx" Type="http://schemas.openxmlformats.org/officeDocument/2006/relationships/package"/><Relationship Id="rId137" Target="media/image65.png" Type="http://schemas.openxmlformats.org/officeDocument/2006/relationships/image"/><Relationship Id="rId138" Target="embeddings/Microsoft_Excel_Worksheet66.xlsx" Type="http://schemas.openxmlformats.org/officeDocument/2006/relationships/package"/><Relationship Id="rId139" Target="media/image66.png" Type="http://schemas.openxmlformats.org/officeDocument/2006/relationships/image"/><Relationship Id="rId14" Target="embeddings/Microsoft_Excel_Worksheet5.xlsx" Type="http://schemas.openxmlformats.org/officeDocument/2006/relationships/package"/><Relationship Id="rId140" Target="embeddings/Microsoft_Excel_Worksheet67.xlsx" Type="http://schemas.openxmlformats.org/officeDocument/2006/relationships/package"/><Relationship Id="rId141" Target="media/image67.png" Type="http://schemas.openxmlformats.org/officeDocument/2006/relationships/image"/><Relationship Id="rId142" Target="embeddings/Microsoft_Excel_Worksheet68.xlsx" Type="http://schemas.openxmlformats.org/officeDocument/2006/relationships/package"/><Relationship Id="rId143" Target="media/image68.png" Type="http://schemas.openxmlformats.org/officeDocument/2006/relationships/image"/><Relationship Id="rId144" Target="embeddings/Microsoft_Excel_Worksheet69.xlsx" Type="http://schemas.openxmlformats.org/officeDocument/2006/relationships/package"/><Relationship Id="rId145" Target="media/image69.png" Type="http://schemas.openxmlformats.org/officeDocument/2006/relationships/image"/><Relationship Id="rId146" Target="embeddings/Microsoft_Excel_Worksheet70.xlsx" Type="http://schemas.openxmlformats.org/officeDocument/2006/relationships/package"/><Relationship Id="rId147" Target="media/image70.png" Type="http://schemas.openxmlformats.org/officeDocument/2006/relationships/image"/><Relationship Id="rId148" Target="embeddings/Microsoft_Excel_Worksheet71.xlsx" Type="http://schemas.openxmlformats.org/officeDocument/2006/relationships/package"/><Relationship Id="rId149" Target="media/image71.png" Type="http://schemas.openxmlformats.org/officeDocument/2006/relationships/image"/><Relationship Id="rId15" Target="media/image5.png" Type="http://schemas.openxmlformats.org/officeDocument/2006/relationships/image"/><Relationship Id="rId150" Target="embeddings/Microsoft_Excel_Worksheet72.xlsx" Type="http://schemas.openxmlformats.org/officeDocument/2006/relationships/package"/><Relationship Id="rId151" Target="media/image72.png" Type="http://schemas.openxmlformats.org/officeDocument/2006/relationships/image"/><Relationship Id="rId152" Target="embeddings/Microsoft_Excel_Worksheet73.xlsx" Type="http://schemas.openxmlformats.org/officeDocument/2006/relationships/package"/><Relationship Id="rId153" Target="media/image73.png" Type="http://schemas.openxmlformats.org/officeDocument/2006/relationships/image"/><Relationship Id="rId154" Target="embeddings/Microsoft_Excel_Worksheet74.xlsx" Type="http://schemas.openxmlformats.org/officeDocument/2006/relationships/package"/><Relationship Id="rId155" Target="media/image74.png" Type="http://schemas.openxmlformats.org/officeDocument/2006/relationships/image"/><Relationship Id="rId156" Target="embeddings/Microsoft_Excel_Worksheet75.xlsx" Type="http://schemas.openxmlformats.org/officeDocument/2006/relationships/package"/><Relationship Id="rId157" Target="media/image75.png" Type="http://schemas.openxmlformats.org/officeDocument/2006/relationships/image"/><Relationship Id="rId158" Target="embeddings/Microsoft_Excel_Worksheet76.xlsx" Type="http://schemas.openxmlformats.org/officeDocument/2006/relationships/package"/><Relationship Id="rId159" Target="media/image76.png" Type="http://schemas.openxmlformats.org/officeDocument/2006/relationships/image"/><Relationship Id="rId16" Target="https://ghgprotocol.org/scope-2-guidance" TargetMode="External" Type="http://schemas.openxmlformats.org/officeDocument/2006/relationships/hyperlink"/><Relationship Id="rId160" Target="embeddings/Microsoft_Excel_Worksheet77.xlsx" Type="http://schemas.openxmlformats.org/officeDocument/2006/relationships/package"/><Relationship Id="rId161" Target="media/image77.png" Type="http://schemas.openxmlformats.org/officeDocument/2006/relationships/image"/><Relationship Id="rId162" Target="embeddings/Microsoft_Excel_Worksheet78.xlsx" Type="http://schemas.openxmlformats.org/officeDocument/2006/relationships/package"/><Relationship Id="rId163" Target="media/image78.png" Type="http://schemas.openxmlformats.org/officeDocument/2006/relationships/image"/><Relationship Id="rId164" Target="embeddings/Microsoft_Excel_Worksheet79.xlsx" Type="http://schemas.openxmlformats.org/officeDocument/2006/relationships/package"/><Relationship Id="rId165" Target="media/image79.png" Type="http://schemas.openxmlformats.org/officeDocument/2006/relationships/image"/><Relationship Id="rId166" Target="embeddings/Microsoft_Excel_Worksheet80.xlsx" Type="http://schemas.openxmlformats.org/officeDocument/2006/relationships/package"/><Relationship Id="rId167" Target="media/image80.png" Type="http://schemas.openxmlformats.org/officeDocument/2006/relationships/image"/><Relationship Id="rId168" Target="embeddings/Microsoft_Excel_Worksheet81.xlsx" Type="http://schemas.openxmlformats.org/officeDocument/2006/relationships/package"/><Relationship Id="rId169" Target="media/image81.png" Type="http://schemas.openxmlformats.org/officeDocument/2006/relationships/image"/><Relationship Id="rId17" Target="embeddings/Microsoft_Excel_Worksheet6.xlsx" Type="http://schemas.openxmlformats.org/officeDocument/2006/relationships/package"/><Relationship Id="rId170" Target="header1.xml" Type="http://schemas.openxmlformats.org/officeDocument/2006/relationships/header"/><Relationship Id="rId18" Target="media/image6.png" Type="http://schemas.openxmlformats.org/officeDocument/2006/relationships/image"/><Relationship Id="rId19" Target="embeddings/Microsoft_Excel_Worksheet7.xlsx" Type="http://schemas.openxmlformats.org/officeDocument/2006/relationships/package"/><Relationship Id="rId2" Target="styles.xml" Type="http://schemas.openxmlformats.org/officeDocument/2006/relationships/styles"/><Relationship Id="rId20" Target="media/image7.png" Type="http://schemas.openxmlformats.org/officeDocument/2006/relationships/image"/><Relationship Id="rId21" Target="embeddings/Microsoft_Excel_Worksheet8.xlsx" Type="http://schemas.openxmlformats.org/officeDocument/2006/relationships/package"/><Relationship Id="rId22" Target="media/image8.png" Type="http://schemas.openxmlformats.org/officeDocument/2006/relationships/image"/><Relationship Id="rId23" Target="embeddings/Microsoft_Excel_Worksheet9.xlsx" Type="http://schemas.openxmlformats.org/officeDocument/2006/relationships/package"/><Relationship Id="rId24" Target="media/image9.png" Type="http://schemas.openxmlformats.org/officeDocument/2006/relationships/image"/><Relationship Id="rId25" Target="https://ghgprotocol.org/corporate-value-chain-scope-3-standard" TargetMode="External" Type="http://schemas.openxmlformats.org/officeDocument/2006/relationships/hyperlink"/><Relationship Id="rId26" Target="embeddings/Microsoft_Excel_Worksheet10.xlsx" Type="http://schemas.openxmlformats.org/officeDocument/2006/relationships/package"/><Relationship Id="rId27" Target="media/image10.png" Type="http://schemas.openxmlformats.org/officeDocument/2006/relationships/image"/><Relationship Id="rId28" Target="embeddings/Microsoft_Excel_Worksheet11.xlsx" Type="http://schemas.openxmlformats.org/officeDocument/2006/relationships/package"/><Relationship Id="rId29" Target="media/image11.png" Type="http://schemas.openxmlformats.org/officeDocument/2006/relationships/image"/><Relationship Id="rId3" Target="footer1.xml" Type="http://schemas.openxmlformats.org/officeDocument/2006/relationships/footer"/><Relationship Id="rId30" Target="embeddings/Microsoft_Excel_Worksheet12.xlsx" Type="http://schemas.openxmlformats.org/officeDocument/2006/relationships/package"/><Relationship Id="rId31" Target="media/image12.png" Type="http://schemas.openxmlformats.org/officeDocument/2006/relationships/image"/><Relationship Id="rId32" Target="embeddings/Microsoft_Excel_Worksheet13.xlsx" Type="http://schemas.openxmlformats.org/officeDocument/2006/relationships/package"/><Relationship Id="rId33" Target="media/image13.png" Type="http://schemas.openxmlformats.org/officeDocument/2006/relationships/image"/><Relationship Id="rId34" Target="embeddings/Microsoft_Excel_Worksheet14.xlsx" Type="http://schemas.openxmlformats.org/officeDocument/2006/relationships/package"/><Relationship Id="rId35" Target="media/image14.png" Type="http://schemas.openxmlformats.org/officeDocument/2006/relationships/image"/><Relationship Id="rId36" Target="embeddings/Microsoft_Excel_Worksheet15.xlsx" Type="http://schemas.openxmlformats.org/officeDocument/2006/relationships/package"/><Relationship Id="rId37" Target="media/image15.png" Type="http://schemas.openxmlformats.org/officeDocument/2006/relationships/image"/><Relationship Id="rId38" Target="embeddings/Microsoft_Excel_Worksheet16.xlsx" Type="http://schemas.openxmlformats.org/officeDocument/2006/relationships/package"/><Relationship Id="rId39" Target="media/image16.png" Type="http://schemas.openxmlformats.org/officeDocument/2006/relationships/image"/><Relationship Id="rId4" Target="https://www.magna.com/" TargetMode="External" Type="http://schemas.openxmlformats.org/officeDocument/2006/relationships/hyperlink"/><Relationship Id="rId40" Target="embeddings/Microsoft_Excel_Worksheet17.xlsx" Type="http://schemas.openxmlformats.org/officeDocument/2006/relationships/package"/><Relationship Id="rId41" Target="media/image17.png" Type="http://schemas.openxmlformats.org/officeDocument/2006/relationships/image"/><Relationship Id="rId42" Target="embeddings/Microsoft_Excel_Worksheet18.xlsx" Type="http://schemas.openxmlformats.org/officeDocument/2006/relationships/package"/><Relationship Id="rId43" Target="media/image18.png" Type="http://schemas.openxmlformats.org/officeDocument/2006/relationships/image"/><Relationship Id="rId44" Target="embeddings/Microsoft_Excel_Worksheet19.xlsx" Type="http://schemas.openxmlformats.org/officeDocument/2006/relationships/package"/><Relationship Id="rId45" Target="media/image19.png" Type="http://schemas.openxmlformats.org/officeDocument/2006/relationships/image"/><Relationship Id="rId46" Target="embeddings/Microsoft_Excel_Worksheet20.xlsx" Type="http://schemas.openxmlformats.org/officeDocument/2006/relationships/package"/><Relationship Id="rId47" Target="media/image20.png" Type="http://schemas.openxmlformats.org/officeDocument/2006/relationships/image"/><Relationship Id="rId48" Target="embeddings/Microsoft_Excel_Worksheet21.xlsx" Type="http://schemas.openxmlformats.org/officeDocument/2006/relationships/package"/><Relationship Id="rId49" Target="media/image21.png" Type="http://schemas.openxmlformats.org/officeDocument/2006/relationships/image"/><Relationship Id="rId5" Target="numbering.xml" Type="http://schemas.openxmlformats.org/officeDocument/2006/relationships/numbering"/><Relationship Id="rId50" Target="embeddings/Microsoft_Excel_Worksheet22.xlsx" Type="http://schemas.openxmlformats.org/officeDocument/2006/relationships/package"/><Relationship Id="rId51" Target="media/image22.png" Type="http://schemas.openxmlformats.org/officeDocument/2006/relationships/image"/><Relationship Id="rId52" Target="embeddings/Microsoft_Excel_Worksheet23.xlsx" Type="http://schemas.openxmlformats.org/officeDocument/2006/relationships/package"/><Relationship Id="rId53" Target="media/image23.png" Type="http://schemas.openxmlformats.org/officeDocument/2006/relationships/image"/><Relationship Id="rId54" Target="embeddings/Microsoft_Excel_Worksheet24.xlsx" Type="http://schemas.openxmlformats.org/officeDocument/2006/relationships/package"/><Relationship Id="rId55" Target="media/image24.png" Type="http://schemas.openxmlformats.org/officeDocument/2006/relationships/image"/><Relationship Id="rId56" Target="embeddings/Microsoft_Excel_Worksheet25.xlsx" Type="http://schemas.openxmlformats.org/officeDocument/2006/relationships/package"/><Relationship Id="rId57" Target="media/image25.png" Type="http://schemas.openxmlformats.org/officeDocument/2006/relationships/image"/><Relationship Id="rId58" Target="embeddings/Microsoft_Excel_Worksheet26.xlsx" Type="http://schemas.openxmlformats.org/officeDocument/2006/relationships/package"/><Relationship Id="rId59" Target="media/image26.png" Type="http://schemas.openxmlformats.org/officeDocument/2006/relationships/image"/><Relationship Id="rId6" Target="embeddings/Microsoft_Excel_Worksheet1.xlsx" Type="http://schemas.openxmlformats.org/officeDocument/2006/relationships/package"/><Relationship Id="rId60" Target="embeddings/Microsoft_Excel_Worksheet27.xlsx" Type="http://schemas.openxmlformats.org/officeDocument/2006/relationships/package"/><Relationship Id="rId61" Target="media/image27.png" Type="http://schemas.openxmlformats.org/officeDocument/2006/relationships/image"/><Relationship Id="rId62" Target="embeddings/Microsoft_Excel_Worksheet28.xlsx" Type="http://schemas.openxmlformats.org/officeDocument/2006/relationships/package"/><Relationship Id="rId63" Target="media/image28.png" Type="http://schemas.openxmlformats.org/officeDocument/2006/relationships/image"/><Relationship Id="rId64" Target="embeddings/Microsoft_Excel_Worksheet29.xlsx" Type="http://schemas.openxmlformats.org/officeDocument/2006/relationships/package"/><Relationship Id="rId65" Target="media/image29.png" Type="http://schemas.openxmlformats.org/officeDocument/2006/relationships/image"/><Relationship Id="rId66" Target="embeddings/Microsoft_Excel_Worksheet30.xlsx" Type="http://schemas.openxmlformats.org/officeDocument/2006/relationships/package"/><Relationship Id="rId67" Target="media/image30.png" Type="http://schemas.openxmlformats.org/officeDocument/2006/relationships/image"/><Relationship Id="rId68" Target="embeddings/Microsoft_Excel_Worksheet31.xlsx" Type="http://schemas.openxmlformats.org/officeDocument/2006/relationships/package"/><Relationship Id="rId69" Target="media/image31.png" Type="http://schemas.openxmlformats.org/officeDocument/2006/relationships/image"/><Relationship Id="rId7" Target="media/image1.png" Type="http://schemas.openxmlformats.org/officeDocument/2006/relationships/image"/><Relationship Id="rId70" Target="embeddings/Microsoft_Excel_Worksheet32.xlsx" Type="http://schemas.openxmlformats.org/officeDocument/2006/relationships/package"/><Relationship Id="rId71" Target="media/image32.png" Type="http://schemas.openxmlformats.org/officeDocument/2006/relationships/image"/><Relationship Id="rId72" Target="embeddings/Microsoft_Excel_Worksheet33.xlsx" Type="http://schemas.openxmlformats.org/officeDocument/2006/relationships/package"/><Relationship Id="rId73" Target="media/image33.png" Type="http://schemas.openxmlformats.org/officeDocument/2006/relationships/image"/><Relationship Id="rId74" Target="embeddings/Microsoft_Excel_Worksheet34.xlsx" Type="http://schemas.openxmlformats.org/officeDocument/2006/relationships/package"/><Relationship Id="rId75" Target="media/image34.png" Type="http://schemas.openxmlformats.org/officeDocument/2006/relationships/image"/><Relationship Id="rId76" Target="embeddings/Microsoft_Excel_Worksheet35.xlsx" Type="http://schemas.openxmlformats.org/officeDocument/2006/relationships/package"/><Relationship Id="rId77" Target="media/image35.png" Type="http://schemas.openxmlformats.org/officeDocument/2006/relationships/image"/><Relationship Id="rId78" Target="embeddings/Microsoft_Excel_Worksheet36.xlsx" Type="http://schemas.openxmlformats.org/officeDocument/2006/relationships/package"/><Relationship Id="rId79" Target="media/image36.png" Type="http://schemas.openxmlformats.org/officeDocument/2006/relationships/image"/><Relationship Id="rId8" Target="embeddings/Microsoft_Excel_Worksheet2.xlsx" Type="http://schemas.openxmlformats.org/officeDocument/2006/relationships/package"/><Relationship Id="rId80" Target="embeddings/Microsoft_Excel_Worksheet37.xlsx" Type="http://schemas.openxmlformats.org/officeDocument/2006/relationships/package"/><Relationship Id="rId81" Target="media/image37.png" Type="http://schemas.openxmlformats.org/officeDocument/2006/relationships/image"/><Relationship Id="rId82" Target="embeddings/Microsoft_Excel_Worksheet38.xlsx" Type="http://schemas.openxmlformats.org/officeDocument/2006/relationships/package"/><Relationship Id="rId83" Target="media/image38.png" Type="http://schemas.openxmlformats.org/officeDocument/2006/relationships/image"/><Relationship Id="rId84" Target="embeddings/Microsoft_Excel_Worksheet39.xlsx" Type="http://schemas.openxmlformats.org/officeDocument/2006/relationships/package"/><Relationship Id="rId85" Target="media/image39.png" Type="http://schemas.openxmlformats.org/officeDocument/2006/relationships/image"/><Relationship Id="rId86" Target="embeddings/Microsoft_Excel_Worksheet40.xlsx" Type="http://schemas.openxmlformats.org/officeDocument/2006/relationships/package"/><Relationship Id="rId87" Target="media/image40.png" Type="http://schemas.openxmlformats.org/officeDocument/2006/relationships/image"/><Relationship Id="rId88" Target="embeddings/Microsoft_Excel_Worksheet41.xlsx" Type="http://schemas.openxmlformats.org/officeDocument/2006/relationships/package"/><Relationship Id="rId89" Target="media/image41.png" Type="http://schemas.openxmlformats.org/officeDocument/2006/relationships/image"/><Relationship Id="rId9" Target="media/image2.png" Type="http://schemas.openxmlformats.org/officeDocument/2006/relationships/image"/><Relationship Id="rId90" Target="embeddings/Microsoft_Excel_Worksheet42.xlsx" Type="http://schemas.openxmlformats.org/officeDocument/2006/relationships/package"/><Relationship Id="rId91" Target="media/image42.png" Type="http://schemas.openxmlformats.org/officeDocument/2006/relationships/image"/><Relationship Id="rId92" Target="embeddings/Microsoft_Excel_Worksheet43.xlsx" Type="http://schemas.openxmlformats.org/officeDocument/2006/relationships/package"/><Relationship Id="rId93" Target="media/image43.png" Type="http://schemas.openxmlformats.org/officeDocument/2006/relationships/image"/><Relationship Id="rId94" Target="embeddings/Microsoft_Excel_Worksheet44.xlsx" Type="http://schemas.openxmlformats.org/officeDocument/2006/relationships/package"/><Relationship Id="rId95" Target="media/image44.png" Type="http://schemas.openxmlformats.org/officeDocument/2006/relationships/image"/><Relationship Id="rId96" Target="embeddings/Microsoft_Excel_Worksheet45.xlsx" Type="http://schemas.openxmlformats.org/officeDocument/2006/relationships/package"/><Relationship Id="rId97" Target="media/image45.png" Type="http://schemas.openxmlformats.org/officeDocument/2006/relationships/image"/><Relationship Id="rId98" Target="embeddings/Microsoft_Excel_Worksheet46.xlsx" Type="http://schemas.openxmlformats.org/officeDocument/2006/relationships/package"/><Relationship Id="rId99" Target="media/image4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2026-05-22T06:52:16Z</dcterms:created>
  <dc:creator>Apache POI</dc:creator>
</cp:coreProperties>
</file>