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工厂生产系统的分摊案例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下面给你一个</w:t>
      </w:r>
      <w:r>
        <w:rPr>
          <w:rFonts w:eastAsia="等线" w:ascii="Arial" w:cs="Arial" w:hAnsi="Arial"/>
          <w:b w:val="true"/>
          <w:sz w:val="22"/>
        </w:rPr>
        <w:t>更接近真实工厂的复杂案例</w:t>
      </w:r>
      <w:r>
        <w:rPr>
          <w:rFonts w:eastAsia="等线" w:ascii="Arial" w:cs="Arial" w:hAnsi="Arial"/>
          <w:sz w:val="22"/>
        </w:rPr>
        <w:t>。这个案例的目的不是追求某个真实 Magna 工厂的数据，而是帮助你们设计系统时能验证：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多车型、多产线、多工艺、多能源、多 Scope、多分摊规则同时存在时，系统到底怎么算、怎么归类、怎么验算。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案例设定为：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某 Magna 式整车组装工厂，在 2026 年 5 月同时生产三款车：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BEV-X 纯电 SUV、ICE-Y 燃油轿车、HEV-Z 混合动力 SUV。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先讲最核心原则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在这个案例里，系统一定要记住一句话：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Scope 分类是由“排放源/活动类型”决定的，不是由车型决定的。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也就是说，不是说 BEV 是 Scope 3，ICE 是 Scope 1，HEV 是 Scope 2。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82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分摊规则不会改变 Scope 分类。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比如涂装天然气本来是 Scope 1，分摊给 BEV、ICE、HEV 后，仍然是这三款车各自承担的 Scope 1 制造阶段排放。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工厂宏观结构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这个工厂不是一条线生产一款车，而是多条线、多车间共用。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工厂结构</w:t>
      </w:r>
      <w:bookmarkEnd w:id="2"/>
    </w:p>
    <w:p>
      <w:pPr>
        <w:spacing w:before="120" w:after="120" w:line="288" w:lineRule="auto"/>
        <w:ind w:left="0"/>
      </w:pPr>
      <w:r>
        <w:object>
          <v:shape id="_x0000_i1026" style="width:414pt;height:182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所以系统不能简单做：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工厂总排放 ÷ 总车辆数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而必须做：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先按排放源分类，再按合理分摊动因分到车型，再除以合格车辆数。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生产数据：三款车型同时生产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 年 5 月生产数据如下：</w:t>
      </w:r>
    </w:p>
    <w:p>
      <w:pPr>
        <w:spacing w:before="120" w:after="120" w:line="288" w:lineRule="auto"/>
        <w:ind w:left="0"/>
      </w:pPr>
      <w:r>
        <w:object>
          <v:shape id="_x0000_i1027" style="width:414pt;height:90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这里最终单车 PCF 的分母建议用：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最终合格入库数量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也就是：</w:t>
      </w:r>
    </w:p>
    <w:p>
      <w:pPr>
        <w:spacing w:before="120" w:after="120" w:line="288" w:lineRule="auto"/>
        <w:ind w:left="0"/>
      </w:pPr>
      <w:r>
        <w:object>
          <v:shape id="_x0000_i1028" style="width:414pt;height:75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返修和报废造成的能耗、材料损耗、废弃物，不会从分子中删除，而是分摊到合格车辆上。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车型基础参数与分摊动因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为了让系统能分摊共享能耗，需要给每款车建立一些“分摊动因”。</w:t>
      </w:r>
    </w:p>
    <w:p>
      <w:pPr>
        <w:spacing w:before="120" w:after="120" w:line="288" w:lineRule="auto"/>
        <w:ind w:left="0"/>
      </w:pPr>
      <w:r>
        <w:object>
          <v:shape id="_x0000_i1029" style="width:414pt;height:182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这些分摊动因就是分摊规则的核心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分摊动因的细节注意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涂装复杂系数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案例中未给出具体数值，仅列为变量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表格中三款车的涂装复杂系数分别是：BEV-X 1.08，ICE-Y 1.0，HEV-Z 1.04。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合理</w:t>
      </w:r>
      <w:r>
        <w:rPr>
          <w:rFonts w:eastAsia="等线" w:ascii="Arial" w:cs="Arial" w:hAnsi="Arial"/>
          <w:sz w:val="22"/>
        </w:rPr>
        <w:t>，因为SUV可能比轿车面积更大或多层喷涂。但案例没有说明这些系数来源（如实测或标准工时）。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</w:t>
      </w:r>
      <w:r>
        <w:rPr>
          <w:rFonts w:eastAsia="等线" w:ascii="Arial" w:cs="Arial" w:hAnsi="Arial"/>
          <w:sz w:val="22"/>
        </w:rPr>
        <w:t>：系统应记录系数的制定依据（如工艺文件编号），并支持定期校准。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主要分摊规则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系统里建议配置成如下规则。</w:t>
      </w:r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工厂能源原始数据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 年 5 月，工厂能源原始数据如下。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6.1 Scope 1 原始能耗</w:t>
      </w:r>
      <w:bookmarkEnd w:id="9"/>
    </w:p>
    <w:p>
      <w:pPr>
        <w:spacing w:before="120" w:after="120" w:line="288" w:lineRule="auto"/>
        <w:ind w:left="0"/>
      </w:pPr>
      <w:r>
        <w:object>
          <v:shape id="_x0000_i1031" style="width:414pt;height:112pt;mso-width-percent:0;mso-height-percent:0;mso-width-percent:0;mso-height-percent:0" type="#_x0000_t75" o:ole="">
            <v:imagedata r:id="rId17" o:title=""/>
          </v:shape>
          <o:OLEObject DrawAspect="Icon" ObjectID="_1718471225" ProgID="Excel.Sheet.12" ShapeID="_x0000_i1031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6.2 Scope 2 原始能耗</w:t>
      </w:r>
      <w:bookmarkEnd w:id="10"/>
    </w:p>
    <w:p>
      <w:pPr>
        <w:spacing w:before="120" w:after="120" w:line="288" w:lineRule="auto"/>
        <w:ind w:left="0"/>
      </w:pPr>
      <w:r>
        <w:object>
          <v:shape id="_x0000_i1032" style="width:414pt;height:197pt;mso-width-percent:0;mso-height-percent:0;mso-width-percent:0;mso-height-percent:0" type="#_x0000_t75" o:ole="">
            <v:imagedata r:id="rId19" o:title=""/>
          </v:shape>
          <o:OLEObject DrawAspect="Icon" ObjectID="_1718471226" ProgID="Excel.Sheet.12" ShapeID="_x0000_i1032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6.3 Scope 3 Category 3 能源上游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这部分不是新的用能数据，而是基于 Scope 1/2 能源用量生成的上游排放。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比如：</w:t>
      </w:r>
    </w:p>
    <w:p>
      <w:pPr>
        <w:spacing w:before="120" w:after="120" w:line="288" w:lineRule="auto"/>
        <w:ind w:left="0"/>
      </w:pPr>
      <w:r>
        <w:object>
          <v:shape id="_x0000_i1033" style="width:414pt;height:90pt;mso-width-percent:0;mso-height-percent:0;mso-width-percent:0;mso-height-percent:0" type="#_x0000_t75" o:ole="">
            <v:imagedata r:id="rId21" o:title=""/>
          </v:shape>
          <o:OLEObject DrawAspect="Icon" ObjectID="_1718471227" ProgID="Excel.Sheet.12" ShapeID="_x0000_i1033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bookmarkEnd w:id="1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排放因子假设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为了演示计算，使用以下简化因子。</w:t>
      </w:r>
    </w:p>
    <w:p>
      <w:pPr>
        <w:spacing w:before="120" w:after="120" w:line="288" w:lineRule="auto"/>
        <w:ind w:left="0"/>
      </w:pPr>
      <w:r>
        <w:object>
          <v:shape id="_x0000_i1034" style="width:414pt;height:182pt;mso-width-percent:0;mso-height-percent:0;mso-width-percent:0;mso-height-percent:0" type="#_x0000_t75" o:ole="">
            <v:imagedata r:id="rId23" o:title=""/>
          </v:shape>
          <o:OLEObject DrawAspect="Icon" ObjectID="_1718471228" ProgID="Excel.Sheet.12" ShapeID="_x0000_i1034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R410A：一种常用的制冷剂（冷媒），广泛用于空调、热泵、工业冷冻设备。在汽车工厂中，HVAC 系统（车间空调）、涂装车间的冷冻除湿、空压站干燥机等都可能使用 R410A。</w:t>
      </w:r>
      <w:r>
        <w:rPr>
          <w:rFonts w:eastAsia="等线" w:ascii="Arial" w:cs="Arial" w:hAnsi="Arial"/>
          <w:b w:val="true"/>
          <w:sz w:val="22"/>
        </w:rPr>
        <w:t>泄漏 1 公斤的 R410A，相当于排放 2088 公斤 CO₂e。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bookmarkEnd w:id="1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共享能耗分摊计算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下面进入关键部分。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8.1 冲压电力分摊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冲压用电总量：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1,050,000 kWh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分摊动因：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冲压动因 = 投产数量 × 单车冲压件质量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35" style="width:414pt;height:90pt;mso-width-percent:0;mso-height-percent:0;mso-width-percent:0;mso-height-percent:0" type="#_x0000_t75" o:ole="">
            <v:imagedata r:id="rId26" o:title=""/>
          </v:shape>
          <o:OLEObject DrawAspect="Icon" ObjectID="_1718471229" ProgID="Excel.Sheet.12" ShapeID="_x0000_i1035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分摊电量：</w:t>
      </w:r>
    </w:p>
    <w:p>
      <w:pPr>
        <w:spacing w:before="120" w:after="120" w:line="288" w:lineRule="auto"/>
        <w:ind w:left="0"/>
      </w:pPr>
      <w:r>
        <w:object>
          <v:shape id="_x0000_i1036" style="width:414pt;height:75pt;mso-width-percent:0;mso-height-percent:0;mso-width-percent:0;mso-height-percent:0" type="#_x0000_t75" o:ole="">
            <v:imagedata r:id="rId28" o:title=""/>
          </v:shape>
          <o:OLEObject DrawAspect="Icon" ObjectID="_1718471230" ProgID="Excel.Sheet.12" ShapeID="_x0000_i1036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8.2 焊装电力分摊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焊装用电总量：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1,650,000 kWh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分摊动因：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焊装动因 = 投产数量 × 单车焊点数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37" style="width:414pt;height:90pt;mso-width-percent:0;mso-height-percent:0;mso-width-percent:0;mso-height-percent:0" type="#_x0000_t75" o:ole="">
            <v:imagedata r:id="rId30" o:title=""/>
          </v:shape>
          <o:OLEObject DrawAspect="Icon" ObjectID="_1718471231" ProgID="Excel.Sheet.12" ShapeID="_x0000_i1037" Type="Embed" r:id="rId2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分摊电量：</w:t>
      </w:r>
    </w:p>
    <w:p>
      <w:pPr>
        <w:spacing w:before="120" w:after="120" w:line="288" w:lineRule="auto"/>
        <w:ind w:left="0"/>
      </w:pPr>
      <w:r>
        <w:object>
          <v:shape id="_x0000_i1038" style="width:414pt;height:75pt;mso-width-percent:0;mso-height-percent:0;mso-width-percent:0;mso-height-percent:0" type="#_x0000_t75" o:ole="">
            <v:imagedata r:id="rId32" o:title=""/>
          </v:shape>
          <o:OLEObject DrawAspect="Icon" ObjectID="_1718471232" ProgID="Excel.Sheet.12" ShapeID="_x0000_i1038" Type="Embed" r:id="rId3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8.3 涂装天然气、电力、蒸汽分摊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涂装是三款车完全共享的。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分摊动因：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涂装当量面积 =</w:t>
              <w:br/>
              <w:t>(投产数量 + 0.5 × 返修数量)</w:t>
              <w:br/>
              <w:t>× 单车喷涂面积</w:t>
              <w:br/>
            </w:r>
            <w:r>
              <w:rPr>
                <w:rFonts w:eastAsia="Consolas" w:ascii="Consolas" w:cs="Consolas" w:hAnsi="Consolas"/>
                <w:sz w:val="22"/>
              </w:rPr>
              <w:t>× 涂装复杂系数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为什么要加返修？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因为返修车不是完整重走一次涂装，但会消耗一部分重喷、烘干和检测资源。这里假设返修按 0.5 辆等效涂装负荷计算。</w:t>
      </w:r>
    </w:p>
    <w:p>
      <w:pPr>
        <w:spacing w:before="120" w:after="120" w:line="288" w:lineRule="auto"/>
        <w:ind w:left="0"/>
      </w:pPr>
      <w:r>
        <w:object>
          <v:shape id="_x0000_i1039" style="width:414pt;height:90pt;mso-width-percent:0;mso-height-percent:0;mso-width-percent:0;mso-height-percent:0" type="#_x0000_t75" o:ole="">
            <v:imagedata r:id="rId34" o:title=""/>
          </v:shape>
          <o:OLEObject DrawAspect="Icon" ObjectID="_1718471233" ProgID="Excel.Sheet.12" ShapeID="_x0000_i1039" Type="Embed" r:id="rId3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所以涂装天然气 820,000 m³ 分摊为：</w:t>
      </w:r>
    </w:p>
    <w:p>
      <w:pPr>
        <w:spacing w:before="120" w:after="120" w:line="288" w:lineRule="auto"/>
        <w:ind w:left="0"/>
      </w:pPr>
      <w:r>
        <w:object>
          <v:shape id="_x0000_i1040" style="width:414pt;height:75pt;mso-width-percent:0;mso-height-percent:0;mso-width-percent:0;mso-height-percent:0" type="#_x0000_t75" o:ole="">
            <v:imagedata r:id="rId36" o:title=""/>
          </v:shape>
          <o:OLEObject DrawAspect="Icon" ObjectID="_1718471234" ProgID="Excel.Sheet.12" ShapeID="_x0000_i1040" Type="Embed" r:id="rId3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涂装电力 1,250,000 kWh 分摊为：</w:t>
      </w:r>
    </w:p>
    <w:p>
      <w:pPr>
        <w:spacing w:before="120" w:after="120" w:line="288" w:lineRule="auto"/>
        <w:ind w:left="0"/>
      </w:pPr>
      <w:r>
        <w:object>
          <v:shape id="_x0000_i1041" style="width:414pt;height:75pt;mso-width-percent:0;mso-height-percent:0;mso-width-percent:0;mso-height-percent:0" type="#_x0000_t75" o:ole="">
            <v:imagedata r:id="rId38" o:title=""/>
          </v:shape>
          <o:OLEObject DrawAspect="Icon" ObjectID="_1718471235" ProgID="Excel.Sheet.12" ShapeID="_x0000_i1041" Type="Embed" r:id="rId3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涂装蒸汽 2,200 t 分摊为：</w:t>
      </w:r>
    </w:p>
    <w:p>
      <w:pPr>
        <w:spacing w:before="120" w:after="120" w:line="288" w:lineRule="auto"/>
        <w:ind w:left="0"/>
      </w:pPr>
      <w:r>
        <w:object>
          <v:shape id="_x0000_i1042" style="width:414pt;height:75pt;mso-width-percent:0;mso-height-percent:0;mso-width-percent:0;mso-height-percent:0" type="#_x0000_t75" o:ole="">
            <v:imagedata r:id="rId40" o:title=""/>
          </v:shape>
          <o:OLEObject DrawAspect="Icon" ObjectID="_1718471236" ProgID="Excel.Sheet.12" ShapeID="_x0000_i1042" Type="Embed" r:id="rId3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8.4 总装线电力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总装线是专线，有独立电表，所以优先直接归集。</w:t>
      </w:r>
    </w:p>
    <w:p>
      <w:pPr>
        <w:spacing w:before="120" w:after="120" w:line="288" w:lineRule="auto"/>
        <w:ind w:left="0"/>
      </w:pPr>
      <w:r>
        <w:object>
          <v:shape id="_x0000_i1043" style="width:414pt;height:75pt;mso-width-percent:0;mso-height-percent:0;mso-width-percent:0;mso-height-percent:0" type="#_x0000_t75" o:ole="">
            <v:imagedata r:id="rId42" o:title=""/>
          </v:shape>
          <o:OLEObject DrawAspect="Icon" ObjectID="_1718471237" ProgID="Excel.Sheet.12" ShapeID="_x0000_i1043" Type="Embed" r:id="rId4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这里不需要分摊，直接归到对应车型。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8.5 EOL 终检电力分摊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EOL 测试电力：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320,000 kWh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分摊动因：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EOL 动因 = 最终合格数量 × 单车测试分钟数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44" style="width:414pt;height:90pt;mso-width-percent:0;mso-height-percent:0;mso-width-percent:0;mso-height-percent:0" type="#_x0000_t75" o:ole="">
            <v:imagedata r:id="rId44" o:title=""/>
          </v:shape>
          <o:OLEObject DrawAspect="Icon" ObjectID="_1718471238" ProgID="Excel.Sheet.12" ShapeID="_x0000_i1044" Type="Embed" r:id="rId4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分摊结果：</w:t>
      </w:r>
    </w:p>
    <w:p>
      <w:pPr>
        <w:spacing w:before="120" w:after="120" w:line="288" w:lineRule="auto"/>
        <w:ind w:left="0"/>
      </w:pPr>
      <w:r>
        <w:object>
          <v:shape id="_x0000_i1045" style="width:414pt;height:75pt;mso-width-percent:0;mso-height-percent:0;mso-width-percent:0;mso-height-percent:0" type="#_x0000_t75" o:ole="">
            <v:imagedata r:id="rId46" o:title=""/>
          </v:shape>
          <o:OLEObject DrawAspect="Icon" ObjectID="_1718471239" ProgID="Excel.Sheet.12" ShapeID="_x0000_i1045" Type="Embed" r:id="rId4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出厂前充电电力直接归集：</w:t>
      </w:r>
    </w:p>
    <w:p>
      <w:pPr>
        <w:spacing w:before="120" w:after="120" w:line="288" w:lineRule="auto"/>
        <w:ind w:left="0"/>
      </w:pPr>
      <w:r>
        <w:object>
          <v:shape id="_x0000_i1046" style="width:414pt;height:75pt;mso-width-percent:0;mso-height-percent:0;mso-width-percent:0;mso-height-percent:0" type="#_x0000_t75" o:ole="">
            <v:imagedata r:id="rId48" o:title=""/>
          </v:shape>
          <o:OLEObject DrawAspect="Icon" ObjectID="_1718471240" ProgID="Excel.Sheet.12" ShapeID="_x0000_i1046" Type="Embed" r:id="rId4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测试电力</w:t>
      </w:r>
      <w:r>
        <w:rPr>
          <w:rFonts w:eastAsia="等线" w:ascii="Arial" w:cs="Arial" w:hAnsi="Arial"/>
          <w:sz w:val="22"/>
          <w:shd w:fill="fff67a"/>
        </w:rPr>
        <w:t xml:space="preserve"> 不等于 </w:t>
      </w:r>
      <w:r>
        <w:rPr>
          <w:rFonts w:eastAsia="等线" w:ascii="Arial" w:cs="Arial" w:hAnsi="Arial"/>
          <w:b w:val="true"/>
          <w:sz w:val="22"/>
          <w:shd w:fill="fff67a"/>
        </w:rPr>
        <w:t>充电电力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8.6 公辅系统二级分摊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公辅系统更复杂，比如空压站（产生压缩空气的动力系统核心）、HVAC（全称：Heating, Ventilation and Air Conditioning / 供暖、通风与空调）、照明、冷站。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空压站电力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空压站总电力：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900,000 kWh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先分到车间：</w:t>
      </w:r>
    </w:p>
    <w:p>
      <w:pPr>
        <w:spacing w:before="120" w:after="120" w:line="288" w:lineRule="auto"/>
        <w:ind w:left="0"/>
      </w:pPr>
      <w:r>
        <w:object>
          <v:shape id="_x0000_i1047" style="width:414pt;height:90pt;mso-width-percent:0;mso-height-percent:0;mso-width-percent:0;mso-height-percent:0" type="#_x0000_t75" o:ole="">
            <v:imagedata r:id="rId50" o:title=""/>
          </v:shape>
          <o:OLEObject DrawAspect="Icon" ObjectID="_1718471241" ProgID="Excel.Sheet.12" ShapeID="_x0000_i1047" Type="Embed" r:id="rId4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然后再按对应车间动因分到车型：</w:t>
      </w:r>
    </w:p>
    <w:p>
      <w:pPr>
        <w:spacing w:before="120" w:after="120" w:line="288" w:lineRule="auto"/>
        <w:ind w:left="0"/>
      </w:pPr>
      <w:r>
        <w:object>
          <v:shape id="_x0000_i1048" style="width:414pt;height:90pt;mso-width-percent:0;mso-height-percent:0;mso-width-percent:0;mso-height-percent:0" type="#_x0000_t75" o:ole="">
            <v:imagedata r:id="rId52" o:title=""/>
          </v:shape>
          <o:OLEObject DrawAspect="Icon" ObjectID="_1718471242" ProgID="Excel.Sheet.12" ShapeID="_x0000_i1048" Type="Embed" r:id="rId5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最终空压站电力分摊：</w:t>
      </w:r>
    </w:p>
    <w:p>
      <w:pPr>
        <w:spacing w:before="120" w:after="120" w:line="288" w:lineRule="auto"/>
        <w:ind w:left="0"/>
      </w:pPr>
      <w:r>
        <w:object>
          <v:shape id="_x0000_i1049" style="width:414pt;height:75pt;mso-width-percent:0;mso-height-percent:0;mso-width-percent:0;mso-height-percent:0" type="#_x0000_t75" o:ole="">
            <v:imagedata r:id="rId54" o:title=""/>
          </v:shape>
          <o:OLEObject DrawAspect="Icon" ObjectID="_1718471243" ProgID="Excel.Sheet.12" ShapeID="_x0000_i1049" Type="Embed" r:id="rId5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HVAC/照明/冷站电力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HVAC需要分成</w:t>
      </w:r>
      <w:r>
        <w:rPr>
          <w:rFonts w:eastAsia="等线" w:ascii="Arial" w:cs="Arial" w:hAnsi="Arial"/>
          <w:sz w:val="22"/>
          <w:shd w:fill="fff67a"/>
        </w:rPr>
        <w:t>舒适性HVAC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  <w:shd w:fill="fff67a"/>
        </w:rPr>
        <w:t>工艺性HVAC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总电力：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700,000 kWh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分摊逻辑类似，先分到车间，再按车间动因分车型。</w:t>
      </w:r>
    </w:p>
    <w:p>
      <w:pPr>
        <w:spacing w:before="120" w:after="120" w:line="288" w:lineRule="auto"/>
        <w:ind w:left="0"/>
      </w:pPr>
      <w:r>
        <w:object>
          <v:shape id="_x0000_i1050" style="width:414pt;height:90pt;mso-width-percent:0;mso-height-percent:0;mso-width-percent:0;mso-height-percent:0" type="#_x0000_t75" o:ole="">
            <v:imagedata r:id="rId56" o:title=""/>
          </v:shape>
          <o:OLEObject DrawAspect="Icon" ObjectID="_1718471244" ProgID="Excel.Sheet.12" ShapeID="_x0000_i1050" Type="Embed" r:id="rId5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最终分摊：</w:t>
      </w:r>
    </w:p>
    <w:p>
      <w:pPr>
        <w:spacing w:before="120" w:after="120" w:line="288" w:lineRule="auto"/>
        <w:ind w:left="0"/>
      </w:pPr>
      <w:r>
        <w:object>
          <v:shape id="_x0000_i1051" style="width:414pt;height:85pt;mso-width-percent:0;mso-height-percent:0;mso-width-percent:0;mso-height-percent:0" type="#_x0000_t75" o:ole="">
            <v:imagedata r:id="rId58" o:title=""/>
          </v:shape>
          <o:OLEObject DrawAspect="Icon" ObjectID="_1718471245" ProgID="Excel.Sheet.12" ShapeID="_x0000_i1051" Type="Embed" r:id="rId5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各车型最终分摊到的能源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9.1 能源活动数据汇总</w:t>
      </w:r>
      <w:bookmarkEnd w:id="25"/>
    </w:p>
    <w:p>
      <w:pPr>
        <w:spacing w:before="120" w:after="120" w:line="288" w:lineRule="auto"/>
        <w:ind w:left="0"/>
      </w:pPr>
      <w:r>
        <w:object>
          <v:shape id="_x0000_i1052" style="width:414pt;height:197pt;mso-width-percent:0;mso-height-percent:0;mso-width-percent:0;mso-height-percent:0" type="#_x0000_t75" o:ole="">
            <v:imagedata r:id="rId60" o:title=""/>
          </v:shape>
          <o:OLEObject DrawAspect="Icon" ObjectID="_1718471246" ProgID="Excel.Sheet.12" ShapeID="_x0000_i1052" Type="Embed" r:id="rId5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这张表是系统非常重要的验算表。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系统应该能做到：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三款车型分摊后的总电力 = 工厂电表总电力</w:t>
              <w:br/>
              <w:t>三款车型分摊后的天然气 = 工厂天然气总量</w:t>
              <w:br/>
              <w:t>三款车型分摊后的蒸汽 = 工厂蒸汽总量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三款车型分摊后的柴油 = 工厂柴油总量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天然气等能源分摊来源如下，详细需要Magna给出天然气分摊类别。</w:t>
      </w:r>
    </w:p>
    <w:p>
      <w:pPr>
        <w:spacing w:before="120" w:after="120" w:line="288" w:lineRule="auto"/>
        <w:ind w:left="0"/>
      </w:pPr>
      <w:r>
        <w:object>
          <v:shape id="_x0000_i1053" style="width:414pt;height:90pt;mso-width-percent:0;mso-height-percent:0;mso-width-percent:0;mso-height-percent:0" type="#_x0000_t75" o:ole="">
            <v:imagedata r:id="rId62" o:title=""/>
          </v:shape>
          <o:OLEObject DrawAspect="Icon" ObjectID="_1718471247" ProgID="Excel.Sheet.12" ShapeID="_x0000_i1053" Type="Embed" r:id="rId6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RTO（Regenerative Thermal Oxidizer，蓄热式热氧化炉） 确实需要使用天然气。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Scope 1、Scope 2、Scope 3 Category 3 计算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10.1 Scope 1 计算</w:t>
      </w:r>
      <w:bookmarkEnd w:id="2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上方假设那里的“涂装蒸汽”是外购蒸汽。外购蒸汽属于 Scope 2，不属于 Scope 1。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Scope 1 =</w:t>
              <w:br/>
              <w:t>天然气 × 天然气燃烧因子</w:t>
              <w:br/>
              <w:t>+ 柴油 × 柴油燃烧因子</w:t>
              <w:br/>
            </w:r>
            <w:r>
              <w:rPr>
                <w:rFonts w:eastAsia="Consolas" w:ascii="Consolas" w:cs="Consolas" w:hAnsi="Consolas"/>
                <w:sz w:val="22"/>
              </w:rPr>
              <w:t>+ 制冷剂泄漏量 × GWP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BEV-X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天然气 = 273,825 × 2.15 = 588,724 kgCO₂e</w:t>
              <w:br/>
              <w:t>柴油 = 12,665 × 2.68 = 33,942 kgCO₂e</w:t>
              <w:br/>
              <w:t>制冷剂 = 41 × 2,088 = 85,723 kgCO₂e</w:t>
              <w:br/>
              <w:br/>
              <w:t>Scope 1 = 708,389 kgCO₂e</w:t>
              <w:br/>
            </w:r>
            <w:r>
              <w:rPr>
                <w:rFonts w:eastAsia="Consolas" w:ascii="Consolas" w:cs="Consolas" w:hAnsi="Consolas"/>
                <w:sz w:val="22"/>
              </w:rPr>
              <w:t>单车 Scope 1 = 708,389 / 4,100 = 172.8 kgCO₂e/辆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ICE-Y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天然气 = 341,065 × 2.15 = 733,290 kgCO₂e</w:t>
              <w:br/>
              <w:t>柴油 = 11,619 × 2.68 = 31,139 kgCO₂e</w:t>
              <w:br/>
              <w:t>制冷剂 = 48 × 2,088 = 100,250 kgCO₂e</w:t>
              <w:br/>
              <w:br/>
              <w:t>Scope 1 = 864,679 kgCO₂e</w:t>
              <w:br/>
            </w:r>
            <w:r>
              <w:rPr>
                <w:rFonts w:eastAsia="Consolas" w:ascii="Consolas" w:cs="Consolas" w:hAnsi="Consolas"/>
                <w:sz w:val="22"/>
              </w:rPr>
              <w:t>单车 Scope 1 = 864,679 / 6,000 = 144.1 kgCO₂e/辆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HEV-Z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天然气 = 205,110 × 2.15 = 440,987 kgCO₂e</w:t>
              <w:br/>
              <w:t>柴油 = 7,716 × 2.68 = 20,679 kgCO₂e</w:t>
              <w:br/>
              <w:t>制冷剂 = 31 × 2,088 = 64,587 kgCO₂e</w:t>
              <w:br/>
              <w:br/>
              <w:t>Scope 1 = 526,252 kgCO₂e</w:t>
              <w:br/>
            </w:r>
            <w:r>
              <w:rPr>
                <w:rFonts w:eastAsia="Consolas" w:ascii="Consolas" w:cs="Consolas" w:hAnsi="Consolas"/>
                <w:sz w:val="22"/>
              </w:rPr>
              <w:t>单车 Scope 1 = 526,252 / 3,300 = 159.5 kgCO₂e/辆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10.2 Scope 2 计算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Scope 2 =</w:t>
              <w:br/>
              <w:t>外购电力 × 电力因子</w:t>
              <w:br/>
            </w:r>
            <w:r>
              <w:rPr>
                <w:rFonts w:eastAsia="Consolas" w:ascii="Consolas" w:cs="Consolas" w:hAnsi="Consolas"/>
                <w:sz w:val="22"/>
              </w:rPr>
              <w:t>+ 外购蒸汽 × 蒸汽因子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BEV-X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电力 = 2,601,907 × 0.50 = 1,300,954 kgCO₂e</w:t>
              <w:br/>
              <w:t>蒸汽 = 735 × 120 = 88,158 kgCO₂e</w:t>
              <w:br/>
              <w:br/>
              <w:t>Scope 2 = 1,389,112 kgCO₂e</w:t>
              <w:br/>
            </w:r>
            <w:r>
              <w:rPr>
                <w:rFonts w:eastAsia="Consolas" w:ascii="Consolas" w:cs="Consolas" w:hAnsi="Consolas"/>
                <w:sz w:val="22"/>
              </w:rPr>
              <w:t>单车 Scope 2 = 1,389,112 / 4,100 = 338.8 kgCO₂e/辆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ICE-Y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电力 = 2,975,017 × 0.50 = 1,487,509 kgCO₂e</w:t>
              <w:br/>
              <w:t>蒸汽 = 915 × 120 = 109,806 kgCO₂e</w:t>
              <w:br/>
              <w:br/>
              <w:t>Scope 2 = 1,597,315 kgCO₂e</w:t>
              <w:br/>
            </w:r>
            <w:r>
              <w:rPr>
                <w:rFonts w:eastAsia="Consolas" w:ascii="Consolas" w:cs="Consolas" w:hAnsi="Consolas"/>
                <w:sz w:val="22"/>
              </w:rPr>
              <w:t>单车 Scope 2 = 1,597,315 / 6,000 = 266.2 kgCO₂e/辆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HEV-Z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电力 = 1,873,976 × 0.50 = 936,988 kgCO₂e</w:t>
              <w:br/>
              <w:t>蒸汽 = 550 × 120 = 66,036 kgCO₂e</w:t>
              <w:br/>
              <w:br/>
              <w:t>Scope 2 = 1,003,024 kgCO₂e</w:t>
              <w:br/>
            </w:r>
            <w:r>
              <w:rPr>
                <w:rFonts w:eastAsia="Consolas" w:ascii="Consolas" w:cs="Consolas" w:hAnsi="Consolas"/>
                <w:sz w:val="22"/>
              </w:rPr>
              <w:t>单车 Scope 2 = 1,003,024 / 3,300 = 303.9 kgCO₂e/辆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10.3 Scope 3 Category 3 计算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Scope 3 Cat.3 =</w:t>
              <w:br/>
              <w:t>电力 × 电力上游因子</w:t>
              <w:br/>
              <w:t>+ 天然气 × 天然气上游因子</w:t>
              <w:br/>
              <w:t>+ 柴油 × 柴油上游因子</w:t>
              <w:br/>
            </w:r>
            <w:r>
              <w:rPr>
                <w:rFonts w:eastAsia="Consolas" w:ascii="Consolas" w:cs="Consolas" w:hAnsi="Consolas"/>
                <w:sz w:val="22"/>
              </w:rPr>
              <w:t>+ 蒸汽 × 蒸汽上游因子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怎么算：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燃料消耗量 × 上游排放因子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用电量 × 电力上游/输配损耗因子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比如上游天然气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Scope 3 Cat.3 天然气上游排放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 天然气用量 × 天然气上游排放因子 = 273,825 × 0.35 = 95,839 kgCO₂e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结果：</w:t>
      </w:r>
    </w:p>
    <w:p>
      <w:pPr>
        <w:spacing w:before="120" w:after="120" w:line="288" w:lineRule="auto"/>
        <w:ind w:left="0"/>
      </w:pPr>
      <w:r>
        <w:object>
          <v:shape id="_x0000_i1054" style="width:414pt;height:75pt;mso-width-percent:0;mso-height-percent:0;mso-width-percent:0;mso-height-percent:0" type="#_x0000_t75" o:ole="">
            <v:imagedata r:id="rId64" o:title=""/>
          </v:shape>
          <o:OLEObject DrawAspect="Icon" ObjectID="_1718471248" ProgID="Excel.Sheet.12" ShapeID="_x0000_i1054" Type="Embed" r:id="rId6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所以同一笔天然气，会生成两条碳活动：</w:t>
      </w:r>
    </w:p>
    <w:p>
      <w:pPr>
        <w:spacing w:before="120" w:after="120" w:line="288" w:lineRule="auto"/>
        <w:ind w:left="0"/>
      </w:pPr>
      <w:r>
        <w:object>
          <v:shape id="_x0000_i1055" style="width:414pt;height:56pt;mso-width-percent:0;mso-height-percent:0;mso-width-percent:0;mso-height-percent:0" type="#_x0000_t75" o:ole="">
            <v:imagedata r:id="rId66" o:title=""/>
          </v:shape>
          <o:OLEObject DrawAspect="Icon" ObjectID="_1718471249" ProgID="Excel.Sheet.12" ShapeID="_x0000_i1055" Type="Embed" r:id="rId6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color w:val="3370ff"/>
          <w:sz w:val="36"/>
        </w:rPr>
        <w:t xml:space="preserve">11. </w:t>
      </w:r>
      <w:r>
        <w:rPr>
          <w:rFonts w:eastAsia="等线" w:ascii="Arial" w:cs="Arial" w:hAnsi="Arial"/>
          <w:b w:val="true"/>
          <w:sz w:val="36"/>
        </w:rPr>
        <w:t>制造能耗阶段汇总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 Scope 1、Scope 2、能源上游汇总。</w:t>
      </w:r>
    </w:p>
    <w:p>
      <w:pPr>
        <w:spacing w:before="120" w:after="120" w:line="288" w:lineRule="auto"/>
        <w:ind w:left="0"/>
      </w:pPr>
      <w:r>
        <w:object>
          <v:shape id="_x0000_i1056" style="width:414pt;height:75pt;mso-width-percent:0;mso-height-percent:0;mso-width-percent:0;mso-height-percent:0" type="#_x0000_t75" o:ole="">
            <v:imagedata r:id="rId68" o:title=""/>
          </v:shape>
          <o:OLEObject DrawAspect="Icon" ObjectID="_1718471250" ProgID="Excel.Sheet.12" ShapeID="_x0000_i1056" Type="Embed" r:id="rId6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这里可以看到：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BEV-X 因为车重大、涂装面积大、EOL 充电量高，所以制造能耗分摊较高。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ICE-Y 产量高，分摊后单车制造能耗相对低。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HEV-Z 虽然产量较低，但工艺复杂度高，所以单车排放高于 ICE。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color w:val="3370ff"/>
          <w:sz w:val="36"/>
        </w:rPr>
        <w:t xml:space="preserve">12. </w:t>
      </w:r>
      <w:r>
        <w:rPr>
          <w:rFonts w:eastAsia="等线" w:ascii="Arial" w:cs="Arial" w:hAnsi="Arial"/>
          <w:b w:val="true"/>
          <w:sz w:val="36"/>
        </w:rPr>
        <w:t>BOM 模块组成与 Scope 3 Category 1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下面是单车 BOM 碳排。注意：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这里的 BOM/供应商 PCF，对 Magna 这个组装工厂来说，基本都属于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Scope 3 Category 1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57" style="width:414pt;height:197pt;mso-width-percent:0;mso-height-percent:0;mso-width-percent:0;mso-height-percent:0" type="#_x0000_t75" o:ole="">
            <v:imagedata r:id="rId70" o:title=""/>
          </v:shape>
          <o:OLEObject DrawAspect="Icon" ObjectID="_1718471251" ProgID="Excel.Sheet.12" ShapeID="_x0000_i1057" Type="Embed" r:id="rId6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《整车 BOM 碳排示例》 可以参考 </w:t>
      </w:r>
      <w:hyperlink r:id="rId71">
        <w:r>
          <w:rPr>
            <w:rFonts w:eastAsia="等线" w:ascii="Arial" w:cs="Arial" w:hAnsi="Arial"/>
            <w:b w:val="true"/>
            <w:color w:val="3370ff"/>
            <w:sz w:val="22"/>
          </w:rPr>
          <w:t>以Magna为案例了解碳排放核算业务</w:t>
        </w:r>
      </w:hyperlink>
      <w:r>
        <w:rPr>
          <w:rFonts w:eastAsia="等线" w:ascii="Arial" w:cs="Arial" w:hAnsi="Arial"/>
          <w:b w:val="true"/>
          <w:sz w:val="22"/>
        </w:rPr>
        <w:t xml:space="preserve"> 十三、2. 整车BOM碳排示例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这张表特别适合用来验证系统的 BOM 模块：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BOM 碳排 = Σ 零件数量 × 单件 PCF</w:t>
              <w:br/>
              <w:t>或</w:t>
              <w:br/>
            </w:r>
            <w:r>
              <w:rPr>
                <w:rFonts w:eastAsia="Consolas" w:ascii="Consolas" w:cs="Consolas" w:hAnsi="Consolas"/>
                <w:sz w:val="22"/>
              </w:rPr>
              <w:t>BOM 碳排 = Σ 材料重量 × 材料排放因子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对于 BEV，电池包是最大热点。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对于 ICE，发动机/变速箱和钢件比较突出。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对于 HEV，发动机 + 电驱 + 电池 + 电力电子共同抬高了 BOM 碳排。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color w:val="3370ff"/>
          <w:sz w:val="36"/>
        </w:rPr>
        <w:t xml:space="preserve">13. </w:t>
      </w:r>
      <w:r>
        <w:rPr>
          <w:rFonts w:eastAsia="等线" w:ascii="Arial" w:cs="Arial" w:hAnsi="Arial"/>
          <w:b w:val="true"/>
          <w:sz w:val="36"/>
        </w:rPr>
        <w:t>其他 Scope 3：物流、废弃物、使用阶段、报废</w:t>
      </w:r>
      <w:bookmarkEnd w:id="3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13.1 入厂物流 Scope 3 Cat.4</w:t>
      </w:r>
      <w:bookmarkEnd w:id="39"/>
    </w:p>
    <w:p>
      <w:pPr>
        <w:spacing w:before="120" w:after="120" w:line="288" w:lineRule="auto"/>
        <w:ind w:left="0"/>
      </w:pPr>
      <w:r>
        <w:object>
          <v:shape id="_x0000_i1058" style="width:414pt;height:85pt;mso-width-percent:0;mso-height-percent:0;mso-width-percent:0;mso-height-percent:0" type="#_x0000_t75" o:ole="">
            <v:imagedata r:id="rId73" o:title=""/>
          </v:shape>
          <o:OLEObject DrawAspect="Icon" ObjectID="_1718471252" ProgID="Excel.Sheet.12" ShapeID="_x0000_i1058" Type="Embed" r:id="rId7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入厂物流 = Σ 货物重量 t × 距离 km × 运输方式因子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13.2 生产废弃物 Scope 3 Cat.5</w:t>
      </w:r>
      <w:bookmarkEnd w:id="40"/>
    </w:p>
    <w:p>
      <w:pPr>
        <w:spacing w:before="120" w:after="120" w:line="288" w:lineRule="auto"/>
        <w:ind w:left="0"/>
      </w:pPr>
      <w:r>
        <w:object>
          <v:shape id="_x0000_i1059" style="width:414pt;height:85pt;mso-width-percent:0;mso-height-percent:0;mso-width-percent:0;mso-height-percent:0" type="#_x0000_t75" o:ole="">
            <v:imagedata r:id="rId75" o:title=""/>
          </v:shape>
          <o:OLEObject DrawAspect="Icon" ObjectID="_1718471253" ProgID="Excel.Sheet.12" ShapeID="_x0000_i1059" Type="Embed" r:id="rId7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废弃物排放 = 废弃物重量 × 处理方式因子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13.3 出厂物流 Scope 3 Cat.9</w:t>
      </w:r>
      <w:bookmarkEnd w:id="41"/>
    </w:p>
    <w:p>
      <w:pPr>
        <w:spacing w:before="120" w:after="120" w:line="288" w:lineRule="auto"/>
        <w:ind w:left="0"/>
      </w:pPr>
      <w:r>
        <w:object>
          <v:shape id="_x0000_i1060" style="width:414pt;height:85pt;mso-width-percent:0;mso-height-percent:0;mso-width-percent:0;mso-height-percent:0" type="#_x0000_t75" o:ole="">
            <v:imagedata r:id="rId77" o:title=""/>
          </v:shape>
          <o:OLEObject DrawAspect="Icon" ObjectID="_1718471254" ProgID="Excel.Sheet.12" ShapeID="_x0000_i1060" Type="Embed" r:id="rId7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出厂物流 = 整车重量 t × 运输距离 km × 运输方式因子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13.4 使用阶段 Scope 3 Cat.11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这里进入完整整车 LCA。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BEV-X 使用阶段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假设：</w:t>
      </w:r>
    </w:p>
    <w:p>
      <w:pPr>
        <w:spacing w:before="120" w:after="120" w:line="288" w:lineRule="auto"/>
        <w:ind w:left="0"/>
      </w:pPr>
      <w:r>
        <w:object>
          <v:shape id="_x0000_i1061" style="width:414pt;height:90pt;mso-width-percent:0;mso-height-percent:0;mso-width-percent:0;mso-height-percent:0" type="#_x0000_t75" o:ole="">
            <v:imagedata r:id="rId79" o:title=""/>
          </v:shape>
          <o:OLEObject DrawAspect="Icon" ObjectID="_1718471255" ProgID="Excel.Sheet.12" ShapeID="_x0000_i1061" Type="Embed" r:id="rId7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BEV 使用阶段 =</w:t>
              <w:br/>
              <w:t>生命周期里程 / 100</w:t>
              <w:br/>
              <w:t>× 百公里电耗</w:t>
              <w:br/>
              <w:t>× (1 + 充电损耗)</w:t>
              <w:br/>
            </w:r>
            <w:r>
              <w:rPr>
                <w:rFonts w:eastAsia="Consolas" w:ascii="Consolas" w:cs="Consolas" w:hAnsi="Consolas"/>
                <w:sz w:val="22"/>
              </w:rPr>
              <w:t>× 使用地区电力因子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200,000 / 100 × 19 × 1.10 × 0.45</w:t>
              <w:br/>
            </w:r>
            <w:r>
              <w:rPr>
                <w:rFonts w:eastAsia="Consolas" w:ascii="Consolas" w:cs="Consolas" w:hAnsi="Consolas"/>
                <w:sz w:val="22"/>
              </w:rPr>
              <w:t>= 18,810 kgCO₂e/辆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ICE-Y 使用阶段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假设：</w:t>
      </w:r>
    </w:p>
    <w:p>
      <w:pPr>
        <w:spacing w:before="120" w:after="120" w:line="288" w:lineRule="auto"/>
        <w:ind w:left="0"/>
      </w:pPr>
      <w:r>
        <w:object>
          <v:shape id="_x0000_i1062" style="width:414pt;height:75pt;mso-width-percent:0;mso-height-percent:0;mso-width-percent:0;mso-height-percent:0" type="#_x0000_t75" o:ole="">
            <v:imagedata r:id="rId81" o:title=""/>
          </v:shape>
          <o:OLEObject DrawAspect="Icon" ObjectID="_1718471256" ProgID="Excel.Sheet.12" ShapeID="_x0000_i1062" Type="Embed" r:id="rId8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ICE 使用阶段 =</w:t>
              <w:br/>
              <w:t>生命周期里程 / 100</w:t>
              <w:br/>
              <w:t>× 百公里油耗</w:t>
              <w:br/>
            </w:r>
            <w:r>
              <w:rPr>
                <w:rFonts w:eastAsia="Consolas" w:ascii="Consolas" w:cs="Consolas" w:hAnsi="Consolas"/>
                <w:sz w:val="22"/>
              </w:rPr>
              <w:t>× 燃油因子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200,000 / 100 × 7.2 × 2.90</w:t>
              <w:br/>
            </w:r>
            <w:r>
              <w:rPr>
                <w:rFonts w:eastAsia="Consolas" w:ascii="Consolas" w:cs="Consolas" w:hAnsi="Consolas"/>
                <w:sz w:val="22"/>
              </w:rPr>
              <w:t>= 41,760 kgCO₂e/辆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HEV-Z 使用阶段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假设：</w:t>
      </w:r>
    </w:p>
    <w:p>
      <w:pPr>
        <w:spacing w:before="120" w:after="120" w:line="288" w:lineRule="auto"/>
        <w:ind w:left="0"/>
      </w:pPr>
      <w:r>
        <w:object>
          <v:shape id="_x0000_i1063" style="width:414pt;height:75pt;mso-width-percent:0;mso-height-percent:0;mso-width-percent:0;mso-height-percent:0" type="#_x0000_t75" o:ole="">
            <v:imagedata r:id="rId83" o:title=""/>
          </v:shape>
          <o:OLEObject DrawAspect="Icon" ObjectID="_1718471257" ProgID="Excel.Sheet.12" ShapeID="_x0000_i1063" Type="Embed" r:id="rId8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200,000 / 100 × 5.0 × 2.90</w:t>
              <w:br/>
            </w:r>
            <w:r>
              <w:rPr>
                <w:rFonts w:eastAsia="Consolas" w:ascii="Consolas" w:cs="Consolas" w:hAnsi="Consolas"/>
                <w:sz w:val="22"/>
              </w:rPr>
              <w:t>= 29,000 kgCO₂e/辆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13.5 维修维护和报废</w:t>
      </w:r>
      <w:bookmarkEnd w:id="46"/>
    </w:p>
    <w:p>
      <w:pPr>
        <w:spacing w:before="120" w:after="120" w:line="288" w:lineRule="auto"/>
        <w:ind w:left="0"/>
      </w:pPr>
      <w:r>
        <w:object>
          <v:shape id="_x0000_i1064" style="width:414pt;height:69pt;mso-width-percent:0;mso-height-percent:0;mso-width-percent:0;mso-height-percent:0" type="#_x0000_t75" o:ole="">
            <v:imagedata r:id="rId85" o:title=""/>
          </v:shape>
          <o:OLEObject DrawAspect="Icon" ObjectID="_1718471258" ProgID="Excel.Sheet.12" ShapeID="_x0000_i1064" Type="Embed" r:id="rId8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BEV 的报废阶段较高，主要因为动力电池回收处理。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ICE 和 HEV 的维修维护较高，主要来自发动机相关维护、油液、制动件等。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color w:val="3370ff"/>
          <w:sz w:val="36"/>
        </w:rPr>
        <w:t xml:space="preserve">14. </w:t>
      </w:r>
      <w:r>
        <w:rPr>
          <w:rFonts w:eastAsia="等线" w:ascii="Arial" w:cs="Arial" w:hAnsi="Arial"/>
          <w:b w:val="true"/>
          <w:sz w:val="36"/>
        </w:rPr>
        <w:t>单车 LCA 汇总</w:t>
      </w:r>
      <w:bookmarkEnd w:id="4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14.1 Cradle-to-Gate 制造端 PCF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也就是从原材料到车辆出厂。</w:t>
      </w:r>
    </w:p>
    <w:p>
      <w:pPr>
        <w:spacing w:before="120" w:after="120" w:line="288" w:lineRule="auto"/>
        <w:ind w:left="0"/>
      </w:pPr>
      <w:r>
        <w:object>
          <v:shape id="_x0000_i1065" style="width:414pt;height:182pt;mso-width-percent:0;mso-height-percent:0;mso-width-percent:0;mso-height-percent:0" type="#_x0000_t75" o:ole="">
            <v:imagedata r:id="rId87" o:title=""/>
          </v:shape>
          <o:OLEObject DrawAspect="Icon" ObjectID="_1718471259" ProgID="Excel.Sheet.12" ShapeID="_x0000_i1065" Type="Embed" r:id="rId8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制造端看起来：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BEV-X 最高，主要因为动力电池和铝件。</w:t>
              <w:br/>
              <w:t>ICE-Y 最低，因为没有大电池。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HEV-Z 居中偏高，因为既有发动机系统，又有电驱/电池/电控。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14.2 Cradle-to-Grave 完整生命周期 PCF</w:t>
      </w:r>
      <w:bookmarkEnd w:id="49"/>
    </w:p>
    <w:p>
      <w:pPr>
        <w:spacing w:before="120" w:after="120" w:line="288" w:lineRule="auto"/>
        <w:ind w:left="0"/>
      </w:pPr>
      <w:r>
        <w:object>
          <v:shape id="_x0000_i1066" style="width:414pt;height:179pt;mso-width-percent:0;mso-height-percent:0;mso-width-percent:0;mso-height-percent:0" type="#_x0000_t75" o:ole="">
            <v:imagedata r:id="rId89" o:title=""/>
          </v:shape>
          <o:OLEObject DrawAspect="Icon" ObjectID="_1718471260" ProgID="Excel.Sheet.12" ShapeID="_x0000_i1066" Type="Embed" r:id="rId8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完整生命周期看起来：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BEV-X 虽然制造端最高，但使用阶段较低，所以全生命周期最低。</w:t>
              <w:br/>
              <w:t>ICE-Y 制造端最低，但使用阶段最高，所以全生命周期最高。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HEV-Z 介于两者之间。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这就是整车 LCA 的核心价值：</w:t>
        <w:br/>
      </w:r>
      <w:r>
        <w:rPr>
          <w:rFonts w:eastAsia="等线" w:ascii="Arial" w:cs="Arial" w:hAnsi="Arial"/>
          <w:b w:val="true"/>
          <w:sz w:val="22"/>
        </w:rPr>
        <w:t>不能只看工厂制造，也不能只看尾气。要看完整生命周期。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color w:val="3370ff"/>
          <w:sz w:val="36"/>
        </w:rPr>
        <w:t xml:space="preserve">15. </w:t>
      </w:r>
      <w:r>
        <w:rPr>
          <w:rFonts w:eastAsia="等线" w:ascii="Arial" w:cs="Arial" w:hAnsi="Arial"/>
          <w:b w:val="true"/>
          <w:sz w:val="36"/>
        </w:rPr>
        <w:t>按 Scope 汇总</w:t>
      </w:r>
      <w:bookmarkEnd w:id="5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15.1 单车 Scope 结果</w:t>
      </w:r>
      <w:bookmarkEnd w:id="51"/>
    </w:p>
    <w:p>
      <w:pPr>
        <w:spacing w:before="120" w:after="120" w:line="288" w:lineRule="auto"/>
        <w:ind w:left="0"/>
      </w:pPr>
      <w:r>
        <w:object>
          <v:shape id="_x0000_i1067" style="width:414pt;height:90pt;mso-width-percent:0;mso-height-percent:0;mso-width-percent:0;mso-height-percent:0" type="#_x0000_t75" o:ole="">
            <v:imagedata r:id="rId91" o:title=""/>
          </v:shape>
          <o:OLEObject DrawAspect="Icon" ObjectID="_1718471261" ProgID="Excel.Sheet.12" ShapeID="_x0000_i1067" Type="Embed" r:id="rId9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在整车 LCA 里，Scope 3 会非常大，因为它包括材料、物流、使用阶段和报废阶段。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但在绿色工厂管理里，Scope 1 和 Scope 2 是工厂最能直接控制的部分。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" w:id="52"/>
      <w:r>
        <w:rPr>
          <w:rFonts w:eastAsia="等线" w:ascii="Arial" w:cs="Arial" w:hAnsi="Arial"/>
          <w:color w:val="3370ff"/>
          <w:sz w:val="36"/>
        </w:rPr>
        <w:t xml:space="preserve">16. </w:t>
      </w:r>
      <w:r>
        <w:rPr>
          <w:rFonts w:eastAsia="等线" w:ascii="Arial" w:cs="Arial" w:hAnsi="Arial"/>
          <w:b w:val="true"/>
          <w:sz w:val="36"/>
        </w:rPr>
        <w:t>系统可靠性验算点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这个案例可以用于验证你们的能碳系统是否靠谱。建议至少做 10 个自动校验。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校验 1：能源守恒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系统分摊后要满足：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BEV 分摊电力 + ICE 分摊电力 + HEV 分摊电力</w:t>
              <w:br/>
            </w:r>
            <w:r>
              <w:rPr>
                <w:rFonts w:eastAsia="Consolas" w:ascii="Consolas" w:cs="Consolas" w:hAnsi="Consolas"/>
                <w:sz w:val="22"/>
              </w:rPr>
              <w:t>= 工厂总电力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本案例：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2,601,907 + 2,975,017 + 1,873,976</w:t>
              <w:br/>
            </w:r>
            <w:r>
              <w:rPr>
                <w:rFonts w:eastAsia="Consolas" w:ascii="Consolas" w:cs="Consolas" w:hAnsi="Consolas"/>
                <w:sz w:val="22"/>
              </w:rPr>
              <w:t>= 7,450,900 kWh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必须等于原始电表总量。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校验 2：天然气守恒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273,825 + 341,065 + 205,110</w:t>
              <w:br/>
            </w:r>
            <w:r>
              <w:rPr>
                <w:rFonts w:eastAsia="Consolas" w:ascii="Consolas" w:cs="Consolas" w:hAnsi="Consolas"/>
                <w:sz w:val="22"/>
              </w:rPr>
              <w:t>= 820,000 m³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校验 3：蒸汽守恒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735 + 915 + 550</w:t>
              <w:br/>
            </w:r>
            <w:r>
              <w:rPr>
                <w:rFonts w:eastAsia="Consolas" w:ascii="Consolas" w:cs="Consolas" w:hAnsi="Consolas"/>
                <w:sz w:val="22"/>
              </w:rPr>
              <w:t>= 2,200 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校验 4：Scope 不随分摊改变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涂装天然气是 Scope 1。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分摊后：</w:t>
      </w:r>
    </w:p>
    <w:p>
      <w:pPr>
        <w:spacing w:before="120" w:after="120" w:line="288" w:lineRule="auto"/>
        <w:ind w:left="0"/>
      </w:pPr>
      <w:r>
        <w:object>
          <v:shape id="_x0000_i1068" style="width:414pt;height:75pt;mso-width-percent:0;mso-height-percent:0;mso-width-percent:0;mso-height-percent:0" type="#_x0000_t75" o:ole="">
            <v:imagedata r:id="rId93" o:title=""/>
          </v:shape>
          <o:OLEObject DrawAspect="Icon" ObjectID="_1718471262" ProgID="Excel.Sheet.12" ShapeID="_x0000_i1068" Type="Embed" r:id="rId9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不能因为分摊到产品后改成 Scope 3。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校验 5：能源上游不能重复计算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如果系统已经算了：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天然气燃烧 Scope 1</w:t>
              <w:br/>
              <w:t>+</w:t>
              <w:br/>
            </w:r>
            <w:r>
              <w:rPr>
                <w:rFonts w:eastAsia="Consolas" w:ascii="Consolas" w:cs="Consolas" w:hAnsi="Consolas"/>
                <w:sz w:val="22"/>
              </w:rPr>
              <w:t>天然气上游 Scope 3 Cat.3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就不能再用一个完整 WTW 天然气因子重复算一遍。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校验 6：BOM 供应商 PCF 不能重复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如果供应商电池包 PCF 已经包含：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电池材料；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电池厂用电；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电池厂制造；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电池厂废弃物；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系统就不能再把电芯材料单独加一遍。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校验 7：分母必须是合格车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单车 PCF 应该用：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车型相关排放 / 最终合格入库数量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不能用投产数量稀释报废损失。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校验 8：分摊动因要有物理逻辑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系统应该要求每条分摊规则写明依据。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比如：</w:t>
      </w:r>
    </w:p>
    <w:p>
      <w:pPr>
        <w:spacing w:before="120" w:after="120" w:line="288" w:lineRule="auto"/>
        <w:ind w:left="0"/>
      </w:pPr>
      <w:r>
        <w:object>
          <v:shape id="_x0000_i1069" style="width:414pt;height:109pt;mso-width-percent:0;mso-height-percent:0;mso-width-percent:0;mso-height-percent:0" type="#_x0000_t75" o:ole="">
            <v:imagedata r:id="rId95" o:title=""/>
          </v:shape>
          <o:OLEObject DrawAspect="Icon" ObjectID="_1718471263" ProgID="Excel.Sheet.12" ShapeID="_x0000_i1069" Type="Embed" r:id="rId9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校验 9：组织碳和产品 LCA 要能勾稽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组织层面：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Scope 1 总量 = 2,099 tCO₂e</w:t>
              <w:br/>
              <w:t>Scope 2 总量 = 3,989 tCO₂e</w:t>
              <w:br/>
            </w:r>
            <w:r>
              <w:rPr>
                <w:rFonts w:eastAsia="Consolas" w:ascii="Consolas" w:cs="Consolas" w:hAnsi="Consolas"/>
                <w:sz w:val="22"/>
              </w:rPr>
              <w:t>Scope 3 Cat.3 总量 = 710 tCO₂e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产品层面三款车分摊后的 Scope 1/2/Cat.3 总和，也应该等于这些组织总量。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校验 10：Cradle-to-Gate 和 Cradle-to-Grave 边界要可切换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系统必须支持：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Cradle-to-Gate =</w:t>
              <w:br/>
            </w:r>
            <w:r>
              <w:rPr>
                <w:rFonts w:eastAsia="Consolas" w:ascii="Consolas" w:cs="Consolas" w:hAnsi="Consolas"/>
                <w:sz w:val="22"/>
              </w:rPr>
              <w:t>BOM + 入厂物流 + Scope 1 + Scope 2 + Cat.3 + 废弃物 + 出厂物流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以及：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Cradle-to-Grave =</w:t>
              <w:br/>
            </w:r>
            <w:r>
              <w:rPr>
                <w:rFonts w:eastAsia="Consolas" w:ascii="Consolas" w:cs="Consolas" w:hAnsi="Consolas"/>
                <w:sz w:val="22"/>
              </w:rPr>
              <w:t>Cradle-to-Gate + 使用阶段 + 维修维护 + 报废回收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两个边界不能混在一起。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3" w:id="63"/>
      <w:r>
        <w:rPr>
          <w:rFonts w:eastAsia="等线" w:ascii="Arial" w:cs="Arial" w:hAnsi="Arial"/>
          <w:color w:val="3370ff"/>
          <w:sz w:val="36"/>
        </w:rPr>
        <w:t xml:space="preserve">17. </w:t>
      </w:r>
      <w:r>
        <w:rPr>
          <w:rFonts w:eastAsia="等线" w:ascii="Arial" w:cs="Arial" w:hAnsi="Arial"/>
          <w:b w:val="true"/>
          <w:sz w:val="36"/>
        </w:rPr>
        <w:t>对系统页面的设计启发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这个案例对应的系统页面可以这样设计。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页面一：工厂总览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总电力、天然气、蒸汽、柴油；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Scope 1、Scope 2、Scope 3 总量；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三款车型产量；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单车制造端 PCF；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单车全生命周期 PCF。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页面二：生产线能耗分摊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展示：</w:t>
      </w:r>
    </w:p>
    <w:p>
      <w:pPr>
        <w:spacing w:before="120" w:after="120" w:line="288" w:lineRule="auto"/>
        <w:ind w:left="0"/>
      </w:pPr>
      <w:r>
        <w:object>
          <v:shape id="_x0000_i1070" style="width:414pt;height:109pt;mso-width-percent:0;mso-height-percent:0;mso-width-percent:0;mso-height-percent:0" type="#_x0000_t75" o:ole="">
            <v:imagedata r:id="rId97" o:title=""/>
          </v:shape>
          <o:OLEObject DrawAspect="Icon" ObjectID="_1718471264" ProgID="Excel.Sheet.12" ShapeID="_x0000_i1070" Type="Embed" r:id="rId9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并展示每条分摊规则和动因。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页面三：车型 PCF 对比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展示：</w:t>
      </w:r>
    </w:p>
    <w:p>
      <w:pPr>
        <w:spacing w:before="120" w:after="120" w:line="288" w:lineRule="auto"/>
        <w:ind w:left="0"/>
      </w:pPr>
      <w:r>
        <w:object>
          <v:shape id="_x0000_i1071" style="width:414pt;height:85pt;mso-width-percent:0;mso-height-percent:0;mso-width-percent:0;mso-height-percent:0" type="#_x0000_t75" o:ole="">
            <v:imagedata r:id="rId99" o:title=""/>
          </v:shape>
          <o:OLEObject DrawAspect="Icon" ObjectID="_1718471265" ProgID="Excel.Sheet.12" ShapeID="_x0000_i1071" Type="Embed" r:id="rId9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用堆叠柱最好，一眼能看到：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BEV 制造端高；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ICE 使用阶段高；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HEV 介于中间。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页面四：BOM 碳热点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展示三款车各自 Top 10 BOM 碳热点。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BEV-X 重点看：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动力电池；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铝合金；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电子电气；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底盘；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电驱系统。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ICE-Y 重点看：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发动机/变速箱；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钢件；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底盘；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电子电气。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HEV-Z 重点看：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发动机 + 电驱；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铝件；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电池；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电子电气。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页面五：分摊规则审查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每一条共享排放源都应该能点开看到：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原始数据：涂装天然气 820,000 m³</w:t>
              <w:br/>
              <w:t>Scope：Scope 1</w:t>
              <w:br/>
              <w:t>排放因子：2.15 kgCO₂e/m³</w:t>
              <w:br/>
              <w:t>分摊动因：涂装当量面积</w:t>
              <w:br/>
              <w:t>BEV-X 占比：33.4%</w:t>
              <w:br/>
              <w:t>ICE-Y 占比：41.6%</w:t>
              <w:br/>
              <w:t>HEV-Z 占比：25.0%</w:t>
              <w:br/>
              <w:t>是否审批：已审批</w:t>
              <w:br/>
            </w:r>
            <w:r>
              <w:rPr>
                <w:rFonts w:eastAsia="Consolas" w:ascii="Consolas" w:cs="Consolas" w:hAnsi="Consolas"/>
                <w:sz w:val="22"/>
              </w:rPr>
              <w:t>数据来源：燃气表 + MES + 工艺参数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9" w:id="69"/>
      <w:r>
        <w:rPr>
          <w:rFonts w:eastAsia="等线" w:ascii="Arial" w:cs="Arial" w:hAnsi="Arial"/>
          <w:color w:val="3370ff"/>
          <w:sz w:val="36"/>
        </w:rPr>
        <w:t xml:space="preserve">18. </w:t>
      </w:r>
      <w:r>
        <w:rPr>
          <w:rFonts w:eastAsia="等线" w:ascii="Arial" w:cs="Arial" w:hAnsi="Arial"/>
          <w:b w:val="true"/>
          <w:sz w:val="36"/>
        </w:rPr>
        <w:t>结论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这个案例可以帮助你们明确系统设计的核心：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一个多车型汽车工厂的能碳系统，必须先按排放源归 Scope，再按物理动因分摊到车型，最后再按合格车辆数形成单车 PCF。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对于这个工厂：</w:t>
      </w:r>
    </w:p>
    <w:p>
      <w:pPr>
        <w:spacing w:before="120" w:after="120" w:line="288" w:lineRule="auto"/>
        <w:ind w:left="0"/>
      </w:pPr>
      <w:r>
        <w:object>
          <v:shape id="_x0000_i1072" style="width:414pt;height:75pt;mso-width-percent:0;mso-height-percent:0;mso-width-percent:0;mso-height-percent:0" type="#_x0000_t75" o:ole="">
            <v:imagedata r:id="rId101" o:title=""/>
          </v:shape>
          <o:OLEObject DrawAspect="Icon" ObjectID="_1718471266" ProgID="Excel.Sheet.12" ShapeID="_x0000_i1072" Type="Embed" r:id="rId10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从绿色工厂角度，优化重点是：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涂装天然气、空压站、总装电耗、EOL 充电、返修报废、绿电比例。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从整车 LCA 角度，优化重点是：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BEV 的电池和铝件、ICE 的使用阶段油耗、HEV 的动力系统复杂度、所有车型的供应商 PCF 和材料低碳化。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Cradle-to-Gate 下，核心需要计算的 Scope 3类别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 Magna 汽车组装平台，如果只做制造端 PCF，推荐默认计算这些 Scope 3：</w:t>
      </w:r>
    </w:p>
    <w:p>
      <w:pPr>
        <w:spacing w:before="120" w:after="120" w:line="288" w:lineRule="auto"/>
        <w:ind w:left="0"/>
      </w:pPr>
      <w:r>
        <w:object>
          <v:shape id="_x0000_i1073" style="width:414pt;height:136pt;mso-width-percent:0;mso-height-percent:0;mso-width-percent:0;mso-height-percent:0" type="#_x0000_t75" o:ole="">
            <v:imagedata r:id="rId103" o:title=""/>
          </v:shape>
          <o:OLEObject DrawAspect="Icon" ObjectID="_1718471267" ProgID="Excel.Sheet.12" ShapeID="_x0000_i1073" Type="Embed" r:id="rId10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最核心的是前四类：</w:t>
      </w:r>
      <w:r>
        <w:rPr>
          <w:rFonts w:eastAsia="等线" w:ascii="Arial" w:cs="Arial" w:hAnsi="Arial"/>
          <w:b w:val="true"/>
          <w:sz w:val="22"/>
        </w:rPr>
        <w:t>Cat.1、Cat.3、Cat.4、Cat.5</w:t>
      </w:r>
      <w:r>
        <w:rPr>
          <w:rFonts w:eastAsia="等线" w:ascii="Arial" w:cs="Arial" w:hAnsi="Arial"/>
          <w:sz w:val="22"/>
        </w:rPr>
        <w:t>。</w:t>
      </w:r>
    </w:p>
    <w:sectPr>
      <w:footerReference w:type="default" r:id="rId3"/>
      <w:headerReference w:type="default" r:id="rId10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3512">
    <w:lvl>
      <w:numFmt w:val="bullet"/>
      <w:suff w:val="tab"/>
      <w:lvlText w:val="•"/>
      <w:rPr>
        <w:color w:val="3370ff"/>
      </w:rPr>
    </w:lvl>
  </w:abstractNum>
  <w:abstractNum w:abstractNumId="423513">
    <w:lvl>
      <w:numFmt w:val="bullet"/>
      <w:suff w:val="tab"/>
      <w:lvlText w:val="•"/>
      <w:rPr>
        <w:color w:val="3370ff"/>
      </w:rPr>
    </w:lvl>
  </w:abstractNum>
  <w:abstractNum w:abstractNumId="423514">
    <w:lvl>
      <w:numFmt w:val="bullet"/>
      <w:suff w:val="tab"/>
      <w:lvlText w:val="•"/>
      <w:rPr>
        <w:color w:val="3370ff"/>
      </w:rPr>
    </w:lvl>
  </w:abstractNum>
  <w:abstractNum w:abstractNumId="423515">
    <w:lvl>
      <w:numFmt w:val="bullet"/>
      <w:suff w:val="tab"/>
      <w:lvlText w:val="•"/>
      <w:rPr>
        <w:color w:val="3370ff"/>
      </w:rPr>
    </w:lvl>
  </w:abstractNum>
  <w:abstractNum w:abstractNumId="423516">
    <w:lvl>
      <w:numFmt w:val="bullet"/>
      <w:suff w:val="tab"/>
      <w:lvlText w:val="•"/>
      <w:rPr>
        <w:color w:val="3370ff"/>
      </w:rPr>
    </w:lvl>
  </w:abstractNum>
  <w:abstractNum w:abstractNumId="423517">
    <w:lvl>
      <w:numFmt w:val="bullet"/>
      <w:suff w:val="tab"/>
      <w:lvlText w:val="•"/>
      <w:rPr>
        <w:color w:val="3370ff"/>
      </w:rPr>
    </w:lvl>
  </w:abstractNum>
  <w:abstractNum w:abstractNumId="423518">
    <w:lvl>
      <w:numFmt w:val="bullet"/>
      <w:suff w:val="tab"/>
      <w:lvlText w:val="•"/>
      <w:rPr>
        <w:color w:val="3370ff"/>
      </w:rPr>
    </w:lvl>
  </w:abstractNum>
  <w:abstractNum w:abstractNumId="423519">
    <w:lvl>
      <w:numFmt w:val="bullet"/>
      <w:suff w:val="tab"/>
      <w:lvlText w:val="•"/>
      <w:rPr>
        <w:color w:val="3370ff"/>
      </w:rPr>
    </w:lvl>
  </w:abstractNum>
  <w:abstractNum w:abstractNumId="423520">
    <w:lvl>
      <w:numFmt w:val="bullet"/>
      <w:suff w:val="tab"/>
      <w:lvlText w:val="•"/>
      <w:rPr>
        <w:color w:val="3370ff"/>
      </w:rPr>
    </w:lvl>
  </w:abstractNum>
  <w:abstractNum w:abstractNumId="423521">
    <w:lvl>
      <w:numFmt w:val="bullet"/>
      <w:suff w:val="tab"/>
      <w:lvlText w:val="•"/>
      <w:rPr>
        <w:color w:val="3370ff"/>
      </w:rPr>
    </w:lvl>
  </w:abstractNum>
  <w:abstractNum w:abstractNumId="423522">
    <w:lvl>
      <w:numFmt w:val="bullet"/>
      <w:suff w:val="tab"/>
      <w:lvlText w:val="•"/>
      <w:rPr>
        <w:color w:val="3370ff"/>
      </w:rPr>
    </w:lvl>
  </w:abstractNum>
  <w:abstractNum w:abstractNumId="423523">
    <w:lvl>
      <w:numFmt w:val="bullet"/>
      <w:suff w:val="tab"/>
      <w:lvlText w:val="•"/>
      <w:rPr>
        <w:color w:val="3370ff"/>
      </w:rPr>
    </w:lvl>
  </w:abstractNum>
  <w:abstractNum w:abstractNumId="423524">
    <w:lvl>
      <w:numFmt w:val="bullet"/>
      <w:suff w:val="tab"/>
      <w:lvlText w:val="•"/>
      <w:rPr>
        <w:color w:val="3370ff"/>
      </w:rPr>
    </w:lvl>
  </w:abstractNum>
  <w:abstractNum w:abstractNumId="423525">
    <w:lvl>
      <w:numFmt w:val="bullet"/>
      <w:suff w:val="tab"/>
      <w:lvlText w:val="•"/>
      <w:rPr>
        <w:color w:val="3370ff"/>
      </w:rPr>
    </w:lvl>
  </w:abstractNum>
  <w:abstractNum w:abstractNumId="423526">
    <w:lvl>
      <w:numFmt w:val="bullet"/>
      <w:suff w:val="tab"/>
      <w:lvlText w:val="•"/>
      <w:rPr>
        <w:color w:val="3370ff"/>
      </w:rPr>
    </w:lvl>
  </w:abstractNum>
  <w:abstractNum w:abstractNumId="423527">
    <w:lvl>
      <w:numFmt w:val="bullet"/>
      <w:suff w:val="tab"/>
      <w:lvlText w:val="•"/>
      <w:rPr>
        <w:color w:val="3370ff"/>
      </w:rPr>
    </w:lvl>
  </w:abstractNum>
  <w:abstractNum w:abstractNumId="423528">
    <w:lvl>
      <w:numFmt w:val="bullet"/>
      <w:suff w:val="tab"/>
      <w:lvlText w:val="•"/>
      <w:rPr>
        <w:color w:val="3370ff"/>
      </w:rPr>
    </w:lvl>
  </w:abstractNum>
  <w:abstractNum w:abstractNumId="423529">
    <w:lvl>
      <w:numFmt w:val="bullet"/>
      <w:suff w:val="tab"/>
      <w:lvlText w:val="•"/>
      <w:rPr>
        <w:color w:val="3370ff"/>
      </w:rPr>
    </w:lvl>
  </w:abstractNum>
  <w:abstractNum w:abstractNumId="423530">
    <w:lvl>
      <w:numFmt w:val="bullet"/>
      <w:suff w:val="tab"/>
      <w:lvlText w:val="•"/>
      <w:rPr>
        <w:color w:val="3370ff"/>
      </w:rPr>
    </w:lvl>
  </w:abstractNum>
  <w:abstractNum w:abstractNumId="423531">
    <w:lvl>
      <w:numFmt w:val="bullet"/>
      <w:suff w:val="tab"/>
      <w:lvlText w:val="•"/>
      <w:rPr>
        <w:color w:val="3370ff"/>
      </w:rPr>
    </w:lvl>
  </w:abstractNum>
  <w:abstractNum w:abstractNumId="423532">
    <w:lvl>
      <w:numFmt w:val="bullet"/>
      <w:suff w:val="tab"/>
      <w:lvlText w:val="•"/>
      <w:rPr>
        <w:color w:val="3370ff"/>
      </w:rPr>
    </w:lvl>
  </w:abstractNum>
  <w:abstractNum w:abstractNumId="423533">
    <w:lvl>
      <w:numFmt w:val="bullet"/>
      <w:suff w:val="tab"/>
      <w:lvlText w:val="•"/>
      <w:rPr>
        <w:color w:val="3370ff"/>
      </w:rPr>
    </w:lvl>
  </w:abstractNum>
  <w:abstractNum w:abstractNumId="423534">
    <w:lvl>
      <w:numFmt w:val="bullet"/>
      <w:suff w:val="tab"/>
      <w:lvlText w:val="•"/>
      <w:rPr>
        <w:color w:val="3370ff"/>
      </w:rPr>
    </w:lvl>
  </w:abstractNum>
  <w:abstractNum w:abstractNumId="423535">
    <w:lvl>
      <w:numFmt w:val="bullet"/>
      <w:suff w:val="tab"/>
      <w:lvlText w:val="•"/>
      <w:rPr>
        <w:color w:val="3370ff"/>
      </w:rPr>
    </w:lvl>
  </w:abstractNum>
  <w:abstractNum w:abstractNumId="423536">
    <w:lvl>
      <w:numFmt w:val="bullet"/>
      <w:suff w:val="tab"/>
      <w:lvlText w:val="•"/>
      <w:rPr>
        <w:color w:val="3370ff"/>
      </w:rPr>
    </w:lvl>
  </w:abstractNum>
  <w:abstractNum w:abstractNumId="423537">
    <w:lvl>
      <w:numFmt w:val="bullet"/>
      <w:suff w:val="tab"/>
      <w:lvlText w:val="•"/>
      <w:rPr>
        <w:color w:val="3370ff"/>
      </w:rPr>
    </w:lvl>
  </w:abstractNum>
  <w:abstractNum w:abstractNumId="423538">
    <w:lvl>
      <w:numFmt w:val="bullet"/>
      <w:suff w:val="tab"/>
      <w:lvlText w:val="•"/>
      <w:rPr>
        <w:color w:val="3370ff"/>
      </w:rPr>
    </w:lvl>
  </w:abstractNum>
  <w:abstractNum w:abstractNumId="423539">
    <w:lvl>
      <w:numFmt w:val="bullet"/>
      <w:suff w:val="tab"/>
      <w:lvlText w:val="•"/>
      <w:rPr>
        <w:color w:val="3370ff"/>
      </w:rPr>
    </w:lvl>
  </w:abstractNum>
  <w:abstractNum w:abstractNumId="423540">
    <w:lvl>
      <w:numFmt w:val="bullet"/>
      <w:suff w:val="tab"/>
      <w:lvlText w:val="•"/>
      <w:rPr>
        <w:color w:val="3370ff"/>
      </w:rPr>
    </w:lvl>
  </w:abstractNum>
  <w:num w:numId="1">
    <w:abstractNumId w:val="423512"/>
  </w:num>
  <w:num w:numId="2">
    <w:abstractNumId w:val="423513"/>
  </w:num>
  <w:num w:numId="3">
    <w:abstractNumId w:val="423514"/>
  </w:num>
  <w:num w:numId="4">
    <w:abstractNumId w:val="423515"/>
  </w:num>
  <w:num w:numId="5">
    <w:abstractNumId w:val="423516"/>
  </w:num>
  <w:num w:numId="6">
    <w:abstractNumId w:val="423517"/>
  </w:num>
  <w:num w:numId="7">
    <w:abstractNumId w:val="423518"/>
  </w:num>
  <w:num w:numId="8">
    <w:abstractNumId w:val="423519"/>
  </w:num>
  <w:num w:numId="9">
    <w:abstractNumId w:val="423520"/>
  </w:num>
  <w:num w:numId="10">
    <w:abstractNumId w:val="423521"/>
  </w:num>
  <w:num w:numId="11">
    <w:abstractNumId w:val="423522"/>
  </w:num>
  <w:num w:numId="12">
    <w:abstractNumId w:val="423523"/>
  </w:num>
  <w:num w:numId="13">
    <w:abstractNumId w:val="423524"/>
  </w:num>
  <w:num w:numId="14">
    <w:abstractNumId w:val="423525"/>
  </w:num>
  <w:num w:numId="15">
    <w:abstractNumId w:val="423526"/>
  </w:num>
  <w:num w:numId="16">
    <w:abstractNumId w:val="423527"/>
  </w:num>
  <w:num w:numId="17">
    <w:abstractNumId w:val="423528"/>
  </w:num>
  <w:num w:numId="18">
    <w:abstractNumId w:val="423529"/>
  </w:num>
  <w:num w:numId="19">
    <w:abstractNumId w:val="423530"/>
  </w:num>
  <w:num w:numId="20">
    <w:abstractNumId w:val="423531"/>
  </w:num>
  <w:num w:numId="21">
    <w:abstractNumId w:val="423532"/>
  </w:num>
  <w:num w:numId="22">
    <w:abstractNumId w:val="423533"/>
  </w:num>
  <w:num w:numId="23">
    <w:abstractNumId w:val="423534"/>
  </w:num>
  <w:num w:numId="24">
    <w:abstractNumId w:val="423535"/>
  </w:num>
  <w:num w:numId="25">
    <w:abstractNumId w:val="423536"/>
  </w:num>
  <w:num w:numId="26">
    <w:abstractNumId w:val="423537"/>
  </w:num>
  <w:num w:numId="27">
    <w:abstractNumId w:val="423538"/>
  </w:num>
  <w:num w:numId="28">
    <w:abstractNumId w:val="423539"/>
  </w:num>
  <w:num w:numId="29">
    <w:abstractNumId w:val="4235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00" Target="embeddings/Microsoft_Excel_Worksheet48.xlsx" Type="http://schemas.openxmlformats.org/officeDocument/2006/relationships/package"/><Relationship Id="rId101" Target="media/image48.png" Type="http://schemas.openxmlformats.org/officeDocument/2006/relationships/image"/><Relationship Id="rId102" Target="embeddings/Microsoft_Excel_Worksheet49.xlsx" Type="http://schemas.openxmlformats.org/officeDocument/2006/relationships/package"/><Relationship Id="rId103" Target="media/image49.png" Type="http://schemas.openxmlformats.org/officeDocument/2006/relationships/image"/><Relationship Id="rId104" Target="header1.xml" Type="http://schemas.openxmlformats.org/officeDocument/2006/relationships/header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7.xlsx" Type="http://schemas.openxmlformats.org/officeDocument/2006/relationships/package"/><Relationship Id="rId17" Target="media/image7.png" Type="http://schemas.openxmlformats.org/officeDocument/2006/relationships/image"/><Relationship Id="rId18" Target="embeddings/Microsoft_Excel_Worksheet8.xlsx" Type="http://schemas.openxmlformats.org/officeDocument/2006/relationships/pack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9.xlsx" Type="http://schemas.openxmlformats.org/officeDocument/2006/relationships/package"/><Relationship Id="rId21" Target="media/image9.png" Type="http://schemas.openxmlformats.org/officeDocument/2006/relationships/image"/><Relationship Id="rId22" Target="embeddings/Microsoft_Excel_Worksheet10.xlsx" Type="http://schemas.openxmlformats.org/officeDocument/2006/relationships/package"/><Relationship Id="rId23" Target="media/image10.png" Type="http://schemas.openxmlformats.org/officeDocument/2006/relationships/image"/><Relationship Id="rId24" Target="numbering.xml" Type="http://schemas.openxmlformats.org/officeDocument/2006/relationships/numbering"/><Relationship Id="rId25" Target="embeddings/Microsoft_Excel_Worksheet11.xlsx" Type="http://schemas.openxmlformats.org/officeDocument/2006/relationships/package"/><Relationship Id="rId26" Target="media/image11.png" Type="http://schemas.openxmlformats.org/officeDocument/2006/relationships/image"/><Relationship Id="rId27" Target="embeddings/Microsoft_Excel_Worksheet12.xlsx" Type="http://schemas.openxmlformats.org/officeDocument/2006/relationships/package"/><Relationship Id="rId28" Target="media/image12.png" Type="http://schemas.openxmlformats.org/officeDocument/2006/relationships/image"/><Relationship Id="rId29" Target="embeddings/Microsoft_Excel_Worksheet13.xlsx" Type="http://schemas.openxmlformats.org/officeDocument/2006/relationships/package"/><Relationship Id="rId3" Target="footer1.xml" Type="http://schemas.openxmlformats.org/officeDocument/2006/relationships/footer"/><Relationship Id="rId30" Target="media/image13.png" Type="http://schemas.openxmlformats.org/officeDocument/2006/relationships/image"/><Relationship Id="rId31" Target="embeddings/Microsoft_Excel_Worksheet14.xlsx" Type="http://schemas.openxmlformats.org/officeDocument/2006/relationships/package"/><Relationship Id="rId32" Target="media/image14.png" Type="http://schemas.openxmlformats.org/officeDocument/2006/relationships/image"/><Relationship Id="rId33" Target="embeddings/Microsoft_Excel_Worksheet15.xlsx" Type="http://schemas.openxmlformats.org/officeDocument/2006/relationships/package"/><Relationship Id="rId34" Target="media/image15.png" Type="http://schemas.openxmlformats.org/officeDocument/2006/relationships/image"/><Relationship Id="rId35" Target="embeddings/Microsoft_Excel_Worksheet16.xlsx" Type="http://schemas.openxmlformats.org/officeDocument/2006/relationships/package"/><Relationship Id="rId36" Target="media/image16.png" Type="http://schemas.openxmlformats.org/officeDocument/2006/relationships/image"/><Relationship Id="rId37" Target="embeddings/Microsoft_Excel_Worksheet17.xlsx" Type="http://schemas.openxmlformats.org/officeDocument/2006/relationships/package"/><Relationship Id="rId38" Target="media/image17.png" Type="http://schemas.openxmlformats.org/officeDocument/2006/relationships/image"/><Relationship Id="rId39" Target="embeddings/Microsoft_Excel_Worksheet18.xlsx" Type="http://schemas.openxmlformats.org/officeDocument/2006/relationships/package"/><Relationship Id="rId4" Target="embeddings/Microsoft_Excel_Worksheet1.xlsx" Type="http://schemas.openxmlformats.org/officeDocument/2006/relationships/package"/><Relationship Id="rId40" Target="media/image18.png" Type="http://schemas.openxmlformats.org/officeDocument/2006/relationships/image"/><Relationship Id="rId41" Target="embeddings/Microsoft_Excel_Worksheet19.xlsx" Type="http://schemas.openxmlformats.org/officeDocument/2006/relationships/package"/><Relationship Id="rId42" Target="media/image19.png" Type="http://schemas.openxmlformats.org/officeDocument/2006/relationships/image"/><Relationship Id="rId43" Target="embeddings/Microsoft_Excel_Worksheet20.xlsx" Type="http://schemas.openxmlformats.org/officeDocument/2006/relationships/package"/><Relationship Id="rId44" Target="media/image20.png" Type="http://schemas.openxmlformats.org/officeDocument/2006/relationships/image"/><Relationship Id="rId45" Target="embeddings/Microsoft_Excel_Worksheet21.xlsx" Type="http://schemas.openxmlformats.org/officeDocument/2006/relationships/package"/><Relationship Id="rId46" Target="media/image21.png" Type="http://schemas.openxmlformats.org/officeDocument/2006/relationships/image"/><Relationship Id="rId47" Target="embeddings/Microsoft_Excel_Worksheet22.xlsx" Type="http://schemas.openxmlformats.org/officeDocument/2006/relationships/package"/><Relationship Id="rId48" Target="media/image22.png" Type="http://schemas.openxmlformats.org/officeDocument/2006/relationships/image"/><Relationship Id="rId49" Target="embeddings/Microsoft_Excel_Worksheet23.xlsx" Type="http://schemas.openxmlformats.org/officeDocument/2006/relationships/package"/><Relationship Id="rId5" Target="media/image1.png" Type="http://schemas.openxmlformats.org/officeDocument/2006/relationships/image"/><Relationship Id="rId50" Target="media/image23.png" Type="http://schemas.openxmlformats.org/officeDocument/2006/relationships/image"/><Relationship Id="rId51" Target="embeddings/Microsoft_Excel_Worksheet24.xlsx" Type="http://schemas.openxmlformats.org/officeDocument/2006/relationships/package"/><Relationship Id="rId52" Target="media/image24.png" Type="http://schemas.openxmlformats.org/officeDocument/2006/relationships/image"/><Relationship Id="rId53" Target="embeddings/Microsoft_Excel_Worksheet25.xlsx" Type="http://schemas.openxmlformats.org/officeDocument/2006/relationships/package"/><Relationship Id="rId54" Target="media/image25.png" Type="http://schemas.openxmlformats.org/officeDocument/2006/relationships/image"/><Relationship Id="rId55" Target="embeddings/Microsoft_Excel_Worksheet26.xlsx" Type="http://schemas.openxmlformats.org/officeDocument/2006/relationships/package"/><Relationship Id="rId56" Target="media/image26.png" Type="http://schemas.openxmlformats.org/officeDocument/2006/relationships/image"/><Relationship Id="rId57" Target="embeddings/Microsoft_Excel_Worksheet27.xlsx" Type="http://schemas.openxmlformats.org/officeDocument/2006/relationships/package"/><Relationship Id="rId58" Target="media/image27.png" Type="http://schemas.openxmlformats.org/officeDocument/2006/relationships/image"/><Relationship Id="rId59" Target="embeddings/Microsoft_Excel_Worksheet28.xlsx" Type="http://schemas.openxmlformats.org/officeDocument/2006/relationships/package"/><Relationship Id="rId6" Target="embeddings/Microsoft_Excel_Worksheet2.xlsx" Type="http://schemas.openxmlformats.org/officeDocument/2006/relationships/package"/><Relationship Id="rId60" Target="media/image28.png" Type="http://schemas.openxmlformats.org/officeDocument/2006/relationships/image"/><Relationship Id="rId61" Target="embeddings/Microsoft_Excel_Worksheet29.xlsx" Type="http://schemas.openxmlformats.org/officeDocument/2006/relationships/package"/><Relationship Id="rId62" Target="media/image29.png" Type="http://schemas.openxmlformats.org/officeDocument/2006/relationships/image"/><Relationship Id="rId63" Target="embeddings/Microsoft_Excel_Worksheet30.xlsx" Type="http://schemas.openxmlformats.org/officeDocument/2006/relationships/package"/><Relationship Id="rId64" Target="media/image30.png" Type="http://schemas.openxmlformats.org/officeDocument/2006/relationships/image"/><Relationship Id="rId65" Target="embeddings/Microsoft_Excel_Worksheet31.xlsx" Type="http://schemas.openxmlformats.org/officeDocument/2006/relationships/package"/><Relationship Id="rId66" Target="media/image31.png" Type="http://schemas.openxmlformats.org/officeDocument/2006/relationships/image"/><Relationship Id="rId67" Target="embeddings/Microsoft_Excel_Worksheet32.xlsx" Type="http://schemas.openxmlformats.org/officeDocument/2006/relationships/package"/><Relationship Id="rId68" Target="media/image32.png" Type="http://schemas.openxmlformats.org/officeDocument/2006/relationships/image"/><Relationship Id="rId69" Target="embeddings/Microsoft_Excel_Worksheet33.xlsx" Type="http://schemas.openxmlformats.org/officeDocument/2006/relationships/package"/><Relationship Id="rId7" Target="media/image2.png" Type="http://schemas.openxmlformats.org/officeDocument/2006/relationships/image"/><Relationship Id="rId70" Target="media/image33.png" Type="http://schemas.openxmlformats.org/officeDocument/2006/relationships/image"/><Relationship Id="rId71" Target="https://ark-techx.feishu.cn/wiki/LjUUwIyFZiYVfOkzjMwcfKORnBe" TargetMode="External" Type="http://schemas.openxmlformats.org/officeDocument/2006/relationships/hyperlink"/><Relationship Id="rId72" Target="embeddings/Microsoft_Excel_Worksheet34.xlsx" Type="http://schemas.openxmlformats.org/officeDocument/2006/relationships/package"/><Relationship Id="rId73" Target="media/image34.png" Type="http://schemas.openxmlformats.org/officeDocument/2006/relationships/image"/><Relationship Id="rId74" Target="embeddings/Microsoft_Excel_Worksheet35.xlsx" Type="http://schemas.openxmlformats.org/officeDocument/2006/relationships/package"/><Relationship Id="rId75" Target="media/image35.png" Type="http://schemas.openxmlformats.org/officeDocument/2006/relationships/image"/><Relationship Id="rId76" Target="embeddings/Microsoft_Excel_Worksheet36.xlsx" Type="http://schemas.openxmlformats.org/officeDocument/2006/relationships/package"/><Relationship Id="rId77" Target="media/image36.png" Type="http://schemas.openxmlformats.org/officeDocument/2006/relationships/image"/><Relationship Id="rId78" Target="embeddings/Microsoft_Excel_Worksheet37.xlsx" Type="http://schemas.openxmlformats.org/officeDocument/2006/relationships/package"/><Relationship Id="rId79" Target="media/image37.png" Type="http://schemas.openxmlformats.org/officeDocument/2006/relationships/image"/><Relationship Id="rId8" Target="embeddings/Microsoft_Excel_Worksheet3.xlsx" Type="http://schemas.openxmlformats.org/officeDocument/2006/relationships/package"/><Relationship Id="rId80" Target="embeddings/Microsoft_Excel_Worksheet38.xlsx" Type="http://schemas.openxmlformats.org/officeDocument/2006/relationships/package"/><Relationship Id="rId81" Target="media/image38.png" Type="http://schemas.openxmlformats.org/officeDocument/2006/relationships/image"/><Relationship Id="rId82" Target="embeddings/Microsoft_Excel_Worksheet39.xlsx" Type="http://schemas.openxmlformats.org/officeDocument/2006/relationships/package"/><Relationship Id="rId83" Target="media/image39.png" Type="http://schemas.openxmlformats.org/officeDocument/2006/relationships/image"/><Relationship Id="rId84" Target="embeddings/Microsoft_Excel_Worksheet40.xlsx" Type="http://schemas.openxmlformats.org/officeDocument/2006/relationships/package"/><Relationship Id="rId85" Target="media/image40.png" Type="http://schemas.openxmlformats.org/officeDocument/2006/relationships/image"/><Relationship Id="rId86" Target="embeddings/Microsoft_Excel_Worksheet41.xlsx" Type="http://schemas.openxmlformats.org/officeDocument/2006/relationships/package"/><Relationship Id="rId87" Target="media/image41.png" Type="http://schemas.openxmlformats.org/officeDocument/2006/relationships/image"/><Relationship Id="rId88" Target="embeddings/Microsoft_Excel_Worksheet42.xlsx" Type="http://schemas.openxmlformats.org/officeDocument/2006/relationships/package"/><Relationship Id="rId89" Target="media/image42.png" Type="http://schemas.openxmlformats.org/officeDocument/2006/relationships/image"/><Relationship Id="rId9" Target="media/image3.png" Type="http://schemas.openxmlformats.org/officeDocument/2006/relationships/image"/><Relationship Id="rId90" Target="embeddings/Microsoft_Excel_Worksheet43.xlsx" Type="http://schemas.openxmlformats.org/officeDocument/2006/relationships/package"/><Relationship Id="rId91" Target="media/image43.png" Type="http://schemas.openxmlformats.org/officeDocument/2006/relationships/image"/><Relationship Id="rId92" Target="embeddings/Microsoft_Excel_Worksheet44.xlsx" Type="http://schemas.openxmlformats.org/officeDocument/2006/relationships/package"/><Relationship Id="rId93" Target="media/image44.png" Type="http://schemas.openxmlformats.org/officeDocument/2006/relationships/image"/><Relationship Id="rId94" Target="embeddings/Microsoft_Excel_Worksheet45.xlsx" Type="http://schemas.openxmlformats.org/officeDocument/2006/relationships/package"/><Relationship Id="rId95" Target="media/image45.png" Type="http://schemas.openxmlformats.org/officeDocument/2006/relationships/image"/><Relationship Id="rId96" Target="embeddings/Microsoft_Excel_Worksheet46.xlsx" Type="http://schemas.openxmlformats.org/officeDocument/2006/relationships/package"/><Relationship Id="rId97" Target="media/image46.png" Type="http://schemas.openxmlformats.org/officeDocument/2006/relationships/image"/><Relationship Id="rId98" Target="embeddings/Microsoft_Excel_Worksheet47.xlsx" Type="http://schemas.openxmlformats.org/officeDocument/2006/relationships/package"/><Relationship Id="rId99" Target="media/image4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2026-05-26T03:48:08Z</dcterms:created>
  <dc:creator>Apache POI</dc:creator>
</cp:coreProperties>
</file>