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dugi" w:cs="Gadugi" w:eastAsia="Gadugi" w:hAnsi="Gadugi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52"/>
          <w:szCs w:val="52"/>
          <w:rtl w:val="0"/>
        </w:rPr>
        <w:t xml:space="preserve">Caso semestral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color w:val="000000"/>
          <w:sz w:val="36"/>
          <w:szCs w:val="36"/>
          <w:rtl w:val="0"/>
        </w:rPr>
        <w:t xml:space="preserve">Instrucciones - Caso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>Caso AgroTrack: plataforma para acopio y despacho de producción agrícola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Contexto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Los productores avisan su entrega por teléfono y el acopio se registra en cuadernos. Nadie sabe si el lote fue recibido ni cuánta capacidad de bodega queda disponible. Una red de 20 cooperativas agrícolas y centros de acopio necesita una plataforma unificada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Registrar entregas de lote por la web, administrar capacidad de bodega y coordinar el despacho a planta.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Notificar al productor (email/push) y a bodega (ticket de recepción).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Generar un panel de operaciones en tiempo real (entregas por hora, tiempo de ciclo, estados activos).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Auditar eventos del lote (quién registró, recibió, clasificó o despachó una entrega).</w:t>
      </w:r>
    </w:p>
    <w:p w:rsidR="00000000" w:rsidDel="00000000" w:rsidP="00000000" w:rsidRDefault="00000000" w:rsidRPr="00000000" w14:paraId="0000000B">
      <w:pPr>
        <w:spacing w:after="40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  <w:t xml:space="preserve">Lo que la red exige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Login corporativo con Azure AD (IDaaS).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Frontend Angular con MSAL y autorización por rol (Admin, Operador del dominio, Cliente del dominio).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Backend Spring Boot con microservicios detrás de AWS API Gateway, protegido con el JWT de Azure 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Despliegue en AWS EC2 con Docker / Docker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Mensajería asíncrona con RabbitMQ (tareas / colas de trabajo) y streaming con Kafka (con Zookeeper) para analítica y auditoría en tiempo real.</w:t>
      </w:r>
    </w:p>
    <w:p w:rsidR="00000000" w:rsidDel="00000000" w:rsidP="00000000" w:rsidRDefault="00000000" w:rsidRPr="00000000" w14:paraId="00000011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Actores y roles</w:t>
      </w:r>
      <w:r w:rsidDel="00000000" w:rsidR="00000000" w:rsidRPr="00000000">
        <w:rPr>
          <w:rtl w:val="0"/>
        </w:rPr>
      </w:r>
    </w:p>
    <w:sdt>
      <w:sdtPr>
        <w:lock w:val="contentLocked"/>
        <w:id w:val="-832888574"/>
        <w:tag w:val="goog_rdk_0"/>
      </w:sdtPr>
      <w:sdtContent>
        <w:tbl>
          <w:tblPr>
            <w:tblStyle w:val="Table1"/>
            <w:tblW w:w="130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805"/>
            <w:gridCol w:w="7200"/>
            <w:tblGridChange w:id="0">
              <w:tblGrid>
                <w:gridCol w:w="5805"/>
                <w:gridCol w:w="72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7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Administra el catálogo de productos y la capacidad de bodega, y ve KPIs de la red.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Jefe de acopio (Operador)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Recibe el lote, coordina la clasificación y cierra el despacho.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Productor (Cliente)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Registra y sigue sus entregas.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Consulta el timeline. Solo lectura. Útil para trazabilidad de origen.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Alcance funcional mínimo</w:t>
      </w:r>
      <w:r w:rsidDel="00000000" w:rsidR="00000000" w:rsidRPr="00000000">
        <w:rPr>
          <w:rtl w:val="0"/>
        </w:rPr>
      </w:r>
    </w:p>
    <w:sdt>
      <w:sdtPr>
        <w:lock w:val="contentLocked"/>
        <w:id w:val="233246433"/>
        <w:tag w:val="goog_rdk_1"/>
      </w:sdtPr>
      <w:sdtContent>
        <w:tbl>
          <w:tblPr>
            <w:tblStyle w:val="Table2"/>
            <w:tblW w:w="130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60"/>
            <w:gridCol w:w="5400"/>
            <w:gridCol w:w="2070"/>
            <w:gridCol w:w="3405"/>
            <w:tblGridChange w:id="0">
              <w:tblGrid>
                <w:gridCol w:w="2160"/>
                <w:gridCol w:w="5400"/>
                <w:gridCol w:w="2070"/>
                <w:gridCol w:w="34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2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Reglas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Gestión de entregas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de entregas y cambio de estado (REGISTRADA → RECIBIDA → EN_CLASIFICACIÓN → EN_DESPACHO → DESPACHADA / RECHAZADA)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Productor, Jefe de acopio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No se puede pasar a EN_DESPACHO sin RECIBIR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Catálogo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de tipos de producto y capacidad de bodega disponible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La capacidad de bodega disminuye al recibir la entrega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Email/push al productor y ticket de recepción a bodega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Jefe de acopio, Productor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Envío asíncrono (cola)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Panel de KPIs: entregas por hora, tiempo de ciclo*, estados activos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Datos por streaming (Kafka) sin bloquear el 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Timeline de eventos de la entrega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Solo 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120" w:before="28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Seguridad e identidad (IDaaS Azure + API Gateway)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App Registration “AgroTrack”: clientId, redirectUri, authority = https://login.microsoftonline.com/&lt;TENANT_ID&gt;/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MSAL Angular: proteger rutas y adjuntar Bearer &lt;access_token&gt; a cada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AWS API Gateway (HTTP API) con JWT Authorizer: issuer https://login.microsoftonline.com/&lt;TENANT_ID&gt;/v2.0 y audiences api://&lt;API_CLIENT_ID&gt;.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Spring Security: validar el JWT con security.oauth2.resourceserver.jwt.issuer-uri y comprobar que el rol puede usar el endpoint llamado.</w:t>
      </w:r>
    </w:p>
    <w:p w:rsidR="00000000" w:rsidDel="00000000" w:rsidP="00000000" w:rsidRDefault="00000000" w:rsidRPr="00000000" w14:paraId="0000003E">
      <w:pPr>
        <w:spacing w:after="40" w:line="276" w:lineRule="auto"/>
        <w:ind w:left="0" w:firstLine="0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 Microservicios de dominio</w:t>
      </w:r>
      <w:r w:rsidDel="00000000" w:rsidR="00000000" w:rsidRPr="00000000">
        <w:rPr>
          <w:rtl w:val="0"/>
        </w:rPr>
      </w:r>
    </w:p>
    <w:sdt>
      <w:sdtPr>
        <w:lock w:val="contentLocked"/>
        <w:id w:val="1045947018"/>
        <w:tag w:val="goog_rdk_2"/>
      </w:sdtPr>
      <w:sdtContent>
        <w:tbl>
          <w:tblPr>
            <w:tblStyle w:val="Table3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640"/>
            <w:gridCol w:w="1995"/>
            <w:gridCol w:w="1110"/>
            <w:gridCol w:w="3765"/>
            <w:gridCol w:w="3525"/>
            <w:tblGridChange w:id="0">
              <w:tblGrid>
                <w:gridCol w:w="2640"/>
                <w:gridCol w:w="1995"/>
                <w:gridCol w:w="1110"/>
                <w:gridCol w:w="3765"/>
                <w:gridCol w:w="3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Dominio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Exposición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ms-agrotrack-deliveries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Entregas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entregas, estados, coordinación de capacidad y notificación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/api/deliveries/*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ms-agrotrack-catalog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Productos / bodega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CRUD productos, capacidad y tarifas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/api/catalog/*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ms-agrotrack-notify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sin 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Procesa envío email/webpush y ticket de bodega vía RabbitMQ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 público (consumidor RabbitMQ)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ms-agrotrack-audit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 / 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Consume Kafka y persiste eventos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/api/audit/*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ms-agrotrack-report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KPIs / analytics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Agregaciones y endpoints de lectura (consume Kafka)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/api/report/*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Debes incluir además ms-agrotrack-bff (Spring Boot + Spring Security) como BFF detrás del API Gateway, más un microservicio administrador de RabbitMQ y otro de Kafka, según la pauta de cada evaluación.</w:t>
      </w:r>
    </w:p>
    <w:p w:rsidR="00000000" w:rsidDel="00000000" w:rsidP="00000000" w:rsidRDefault="00000000" w:rsidRPr="00000000" w14:paraId="00000060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Endpoints esenciales (ejemplos)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ms-agrotrack-deliveries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POST /api/deliveries (crear entrega)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GET /api/deliveries/{id}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PUT /api/deliveries/{id}/status  body: { "status": "REGISTRADA|RECIBIDA|EN_CLASIFICACIÓN|EN_DESPACHO|DESPACHADA|RECHAZADA"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GET /api/deliveries?status=...&amp;from=...&amp;to=...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ms-agrotrack-catalog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POST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PUT /api/catalog/services/{id} (tarifa/capacidad)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4b"/>
          <w:sz w:val="24"/>
          <w:szCs w:val="24"/>
          <w:rtl w:val="0"/>
        </w:rPr>
        <w:t>ms-agrotrack-report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/api/report/kpis?range=last24h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/api/report/top-services?range=last7d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 Pantallas propuestas</w:t>
      </w:r>
      <w:r w:rsidDel="00000000" w:rsidR="00000000" w:rsidRPr="00000000">
        <w:rPr>
          <w:rtl w:val="0"/>
        </w:rPr>
      </w:r>
    </w:p>
    <w:sdt>
      <w:sdtPr>
        <w:lock w:val="contentLocked"/>
        <w:id w:val="-1556387456"/>
        <w:tag w:val="goog_rdk_3"/>
      </w:sdtPr>
      <w:sdtContent>
        <w:tbl>
          <w:tblPr>
            <w:tblStyle w:val="Table4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50"/>
            <w:gridCol w:w="1815"/>
            <w:gridCol w:w="2970"/>
            <w:gridCol w:w="5700"/>
            <w:tblGridChange w:id="0">
              <w:tblGrid>
                <w:gridCol w:w="2550"/>
                <w:gridCol w:w="1815"/>
                <w:gridCol w:w="2970"/>
                <w:gridCol w:w="5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Pantalla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70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7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Función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público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MSAL. Botón «Iniciar sesión con Microsoft».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todos los autenticados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Admin: KPIs de la red. Jefe de acopio: entregas por recibir y en clasificación. Productor: últimas entregas y estado.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Entregas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/deliveries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Admin, Jefe de acopio, Productor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Listar, crear (productor o jefe de acopio) y cambiar estado (jefe de acopio/admin).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Catálogo de productos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Admin, Jefe de acopio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Productos, bodegas y capacidad.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/reports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Entregas por hora, tiempo de ciclo, productos más recibidos.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Admin, 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Trazabilidad de la entrega. Filtros: usuario, fechas, tipo de evento.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El flujo de llamadas seguras es siempre: JWT → API Gateway → ms-agrotrack-bff → microservicio de dominio.</w:t>
      </w:r>
    </w:p>
    <w:p w:rsidR="00000000" w:rsidDel="00000000" w:rsidP="00000000" w:rsidRDefault="00000000" w:rsidRPr="00000000" w14:paraId="0000008C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Despliegue (EC2 + 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ec2-apps: deliveries-svc, catalog-svc, notify-svc, report-svc, audit-svc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ec2-mq: RabbitMQ (clúster de 2 nodos para las evaluaciones) con Management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ec2-kafka: Zookeeper (3 nodos) + Kafka (3 brokers) + Kafka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Un compose.yml para apps, otro para mq y otro para kafka.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Security Groups: abrir solo los puertos necesarios (AMQP/5672, Kafka/9092, HTTP APIs internas).</w:t>
      </w:r>
    </w:p>
    <w:p w:rsidR="00000000" w:rsidDel="00000000" w:rsidP="00000000" w:rsidRDefault="00000000" w:rsidRPr="00000000" w14:paraId="00000092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Sugerencia de repositorios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/frontend-agrotrack (Angular + MSAL)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/ms-agrotrack-bff (Spring Boot, Spring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/ms-agrotrack-deliveries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/ms-agrotrack-catalog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/ms-agrotrack-notify (Spring Boot, consumer RabbitMQ)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/ms-agrotrack-report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>/ms-agrotrack-audit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/infra  →  /apps/compose.yml  ·  /mq/compose.yml  ·  /kafka/compose.yml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40" w:line="276" w:lineRule="auto"/>
        <w:ind w:left="720" w:hanging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/docs/</w:t>
      </w:r>
    </w:p>
    <w:p w:rsidR="00000000" w:rsidDel="00000000" w:rsidP="00000000" w:rsidRDefault="00000000" w:rsidRPr="00000000" w14:paraId="0000009C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8. Topología RabbitMQ (6 colas: 3 flujos + 3 DLQ)</w:t>
      </w:r>
      <w:r w:rsidDel="00000000" w:rsidR="00000000" w:rsidRPr="00000000">
        <w:rPr>
          <w:rtl w:val="0"/>
        </w:rPr>
      </w:r>
    </w:p>
    <w:sdt>
      <w:sdtPr>
        <w:lock w:val="contentLocked"/>
        <w:id w:val="1040485616"/>
        <w:tag w:val="goog_rdk_4"/>
      </w:sdtPr>
      <w:sdtContent>
        <w:tbl>
          <w:tblPr>
            <w:tblStyle w:val="Table5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40"/>
            <w:gridCol w:w="4440"/>
            <w:gridCol w:w="2310"/>
            <w:gridCol w:w="2280"/>
            <w:gridCol w:w="1965"/>
            <w:tblGridChange w:id="0">
              <w:tblGrid>
                <w:gridCol w:w="2040"/>
                <w:gridCol w:w="4440"/>
                <w:gridCol w:w="2310"/>
                <w:gridCol w:w="2280"/>
                <w:gridCol w:w="19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D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Cola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A0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direct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A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topic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Email/push al productor (recibida, clasificada, despachada)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email.send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q.cmd.receipt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Ticket de recepción / pesaje del lote en bodega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q.cmd.receipt.dlq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receipt.ticket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receipt.#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q.cmd.voucher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Generación de PDF (guía de despacho o comprobante de acopio)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q.cmd.voucher.dlq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voucher.gen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voucher.*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pacing w:after="12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Exchanges: cmd.direct (direct), cmd.topic (topic) y cmd.dead.dlx (direct, para DLQ).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Buenas prácticas: envelope común (type, eventId, timestamp, traceId, correlationId), ACK/NACK explícitos, idempotencia y métricas de tasa de DLQ.</w:t>
      </w:r>
    </w:p>
    <w:p w:rsidR="00000000" w:rsidDel="00000000" w:rsidP="00000000" w:rsidRDefault="00000000" w:rsidRPr="00000000" w14:paraId="000000B2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9. Topología Kafka</w:t>
      </w:r>
      <w:r w:rsidDel="00000000" w:rsidR="00000000" w:rsidRPr="00000000">
        <w:rPr>
          <w:rtl w:val="0"/>
        </w:rPr>
      </w:r>
    </w:p>
    <w:sdt>
      <w:sdtPr>
        <w:lock w:val="contentLocked"/>
        <w:id w:val="-1257375282"/>
        <w:tag w:val="goog_rdk_5"/>
      </w:sdtPr>
      <w:sdtContent>
        <w:tbl>
          <w:tblPr>
            <w:tblStyle w:val="Table6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35"/>
            <w:gridCol w:w="1425"/>
            <w:gridCol w:w="1425"/>
            <w:gridCol w:w="1695"/>
            <w:gridCol w:w="1695"/>
            <w:gridCol w:w="4560"/>
            <w:tblGridChange w:id="0">
              <w:tblGrid>
                <w:gridCol w:w="2235"/>
                <w:gridCol w:w="1425"/>
                <w:gridCol w:w="1425"/>
                <w:gridCol w:w="1695"/>
                <w:gridCol w:w="1695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Tópico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Particiones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5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Réplicas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Política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7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8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deliveries.events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B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C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D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3–7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E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>Fuente de verdad de eventos de la entrega. Alimenta reportería y auditoría.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BF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audit.timeline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0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1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2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compact,delete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3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14–30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4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Historial quién / qué / cuándo / desde dónde.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5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*.DLT (por consumidor)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6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7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8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9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7–14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A">
                <w:pPr>
                  <w:spacing w:after="40" w:before="40" w:lineRule="auto"/>
                  <w:rPr>
                    <w:rFonts w:ascii="Cambria" w:cs="Cambria" w:eastAsia="Cambria" w:hAnsi="Cambri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Mensajes que fallaron tras N reintentos, con metadatos de error.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spacing w:after="160" w:before="40" w:line="288" w:lineRule="auto"/>
        <w:jc w:val="both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Gadug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Subdirección de Diseño Instrucciona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l</w:t>
      <w:br w:type="textWrapping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  <w:drawing>
        <wp:inline distB="0" distT="0" distL="0" distR="0">
          <wp:extent cx="1803964" cy="409866"/>
          <wp:effectExtent b="0" l="0" r="0" t="0"/>
          <wp:docPr id="194263249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964" cy="4098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DefaultParagraphFont"/>
    <w:link w:val="Encabezado"/>
    <w:uiPriority w:val="1"/>
    <w:rsid w:val="00D62B64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DefaultParagraphFont"/>
    <w:link w:val="Piedepgina"/>
    <w:uiPriority w:val="99"/>
    <w:rsid w:val="00D62B6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DefaultParagraphFont"/>
    <w:link w:val="Textodeglobo"/>
    <w:uiPriority w:val="99"/>
    <w:semiHidden w:val="1"/>
    <w:rsid w:val="00D62B64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DefaultParagraphFont"/>
    <w:uiPriority w:val="99"/>
    <w:semiHidden w:val="1"/>
    <w:unhideWhenUsed w:val="1"/>
    <w:rsid w:val="00D62B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DefaultParagraphFont"/>
    <w:link w:val="Textocomentario"/>
    <w:uiPriority w:val="99"/>
    <w:rsid w:val="00D62B64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DefaultParagraphFont"/>
    <w:link w:val="Textosinformato"/>
    <w:uiPriority w:val="1"/>
    <w:rsid w:val="00D62B64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DefaultParagraphFont"/>
    <w:link w:val="Textonotapie"/>
    <w:uiPriority w:val="99"/>
    <w:semiHidden w:val="1"/>
    <w:rsid w:val="00D62B64"/>
    <w:rPr>
      <w:noProof w:val="1"/>
      <w:sz w:val="20"/>
      <w:szCs w:val="20"/>
    </w:rPr>
  </w:style>
  <w:style w:type="character" w:styleId="Refdenotaalpie">
    <w:name w:val="footnote reference"/>
    <w:basedOn w:val="DefaultParagraphFont"/>
    <w:uiPriority w:val="99"/>
    <w:semiHidden w:val="1"/>
    <w:unhideWhenUsed w:val="1"/>
    <w:rsid w:val="00D62B64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DefaultParagraphFont"/>
    <w:uiPriority w:val="1"/>
    <w:rsid w:val="00D62B64"/>
  </w:style>
  <w:style w:type="character" w:styleId="eop" w:customStyle="1">
    <w:name w:val="eop"/>
    <w:basedOn w:val="DefaultParagraphFont"/>
    <w:uiPriority w:val="1"/>
    <w:rsid w:val="00D62B64"/>
  </w:style>
  <w:style w:type="character" w:styleId="Hipervnculo">
    <w:name w:val="Hyperlink"/>
    <w:basedOn w:val="DefaultParagraphFont"/>
    <w:uiPriority w:val="99"/>
    <w:semiHidden w:val="1"/>
    <w:unhideWhenUsed w:val="1"/>
    <w:rsid w:val="00D62B64"/>
    <w:rPr>
      <w:color w:val="0000ff"/>
      <w:u w:val="single"/>
    </w:rPr>
  </w:style>
  <w:style w:type="paragraph" w:styleId="paragraph" w:customStyle="1">
    <w:name w:val="paragraph"/>
    <w:basedOn w:val="Normal"/>
    <w:rsid w:val="00CC6EAA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table" w:styleId="Tablade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NormalWeb">
    <w:name w:val="Normal (Web)"/>
    <w:basedOn w:val="Normal"/>
    <w:uiPriority w:val="99"/>
    <w:semiHidden w:val="1"/>
    <w:unhideWhenUsed w:val="1"/>
    <w:rsid w:val="003F3CA7"/>
    <w:pPr>
      <w:spacing w:after="100" w:afterAutospacing="1" w:before="100" w:beforeAutospacing="1"/>
    </w:pPr>
    <w:rPr>
      <w:sz w:val="24"/>
      <w:szCs w:val="24"/>
      <w:lang w:eastAsia="en-US" w:val="en-US"/>
    </w:rPr>
  </w:style>
  <w:style w:type="character" w:styleId="Emphasis">
    <w:name w:val="Emphasis"/>
    <w:basedOn w:val="DefaultParagraphFont"/>
    <w:uiPriority w:val="20"/>
    <w:qFormat w:val="1"/>
    <w:rsid w:val="00D62B64"/>
    <w:rPr>
      <w:i w:val="1"/>
      <w:iCs w:val="1"/>
    </w:rPr>
  </w:style>
  <w:style w:type="table" w:styleId="ListTable4-Accent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4-Accent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TIATyAd5fEGDFmjZvLeYQ2Chw==">CgMxLjAaHwoBMBIaChgICVIUChJ0YWJsZS5yaGtlajVzZXVscWoaHwoBMRIaChgICVIUChJ0YWJsZS4zazBtbHM3bnl5MTgaHwoBMhIaChgICVIUChJ0YWJsZS5kbmNwdmgzOGF3aGMaHwoBMxIaChgICVIUChJ0YWJsZS41dXA3NXlzNGxpOGwaHwoBNBIaChgICVIUChJ0YWJsZS5vcmxzd3M4bDhpMG0aHwoBNRIaChgICVIUChJ0YWJsZS5raDJpdXZ3N2wyb2s4AHIhMXQxbExfSW1VUThCSERuQlZIeVE1RDM4MXZ1Y3pWaV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2024-04-12T11:54:00Z</dcterms:created>
  <dc:creator>Maria Cristina Plaza M.</dc:creator>
  <dc:title>Caso 7 - AgroTrack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0x0101001EF7904F2152514DA8723AFD6C400489</vt:lpwstr>
  </property>
  <property fmtid="{D5CDD505-2E9C-101B-9397-08002B2CF9AE}" pid="3" name="MediaServiceImageTags">
    <vt:lpwstr/>
  </property>
  <property fmtid="{D5CDD505-2E9C-101B-9397-08002B2CF9AE}" pid="4" name="Order">
    <vt:r8>2900.0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