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B1C" w14:textId="0F03F8AF" w:rsidR="002E6215" w:rsidRDefault="00237646" w:rsidP="00237646">
      <w:pPr>
        <w:pStyle w:val="Title"/>
      </w:pPr>
      <w:r>
        <w:t>Data logging notes</w:t>
      </w:r>
    </w:p>
    <w:p w14:paraId="74AD203E" w14:textId="5ACCB315" w:rsidR="00237646" w:rsidRDefault="00237646" w:rsidP="00237646">
      <w:r>
        <w:t>This document outlines the structure of the binary data saved to flash memory. Binary data is preferred over ascii csv files due to write speed and storage use efficiency.</w:t>
      </w:r>
    </w:p>
    <w:p w14:paraId="488F60D1" w14:textId="77777777" w:rsidR="00237646" w:rsidRDefault="00237646" w:rsidP="00237646"/>
    <w:p w14:paraId="7C7A1F51" w14:textId="55A31C10" w:rsidR="00237646" w:rsidRDefault="00237646" w:rsidP="00237646">
      <w:pPr>
        <w:pStyle w:val="Heading2"/>
      </w:pPr>
      <w:r>
        <w:t>Storage data format</w:t>
      </w:r>
    </w:p>
    <w:p w14:paraId="414DA5C0" w14:textId="702A5338" w:rsidR="00237646" w:rsidRDefault="00237646" w:rsidP="00237646">
      <w:r>
        <w:t xml:space="preserve">The data stored in the flash memory is written in 512-byte fixed size sectors. The data in these sectors is filled up until the next write exceeds 512 bytes. At this point, the buffer filling is </w:t>
      </w:r>
      <w:r w:rsidR="00DA3FC8">
        <w:t>stopped,</w:t>
      </w:r>
      <w:r>
        <w:t xml:space="preserve"> and the buffer is zero padded up to 512 bytes. </w:t>
      </w:r>
    </w:p>
    <w:p w14:paraId="16ECF0DE" w14:textId="77777777" w:rsidR="00DA3FC8" w:rsidRPr="00237646" w:rsidRDefault="00DA3FC8" w:rsidP="00237646"/>
    <w:p w14:paraId="00C83AED" w14:textId="7268DB26" w:rsidR="00237646" w:rsidRDefault="00DA3FC8" w:rsidP="00DA3FC8">
      <w:pPr>
        <w:pStyle w:val="Heading3"/>
      </w:pPr>
      <w:r>
        <w:t>Write sector format: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626"/>
        <w:gridCol w:w="2610"/>
        <w:gridCol w:w="1631"/>
        <w:gridCol w:w="1631"/>
        <w:gridCol w:w="1631"/>
      </w:tblGrid>
      <w:tr w:rsidR="00DA3FC8" w14:paraId="7882F85A" w14:textId="39A0FFAD" w:rsidTr="007848E6">
        <w:trPr>
          <w:trHeight w:val="554"/>
        </w:trPr>
        <w:tc>
          <w:tcPr>
            <w:tcW w:w="1626" w:type="dxa"/>
          </w:tcPr>
          <w:p w14:paraId="46432822" w14:textId="054606E1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Field</w:t>
            </w:r>
          </w:p>
        </w:tc>
        <w:tc>
          <w:tcPr>
            <w:tcW w:w="2610" w:type="dxa"/>
          </w:tcPr>
          <w:p w14:paraId="19676C7B" w14:textId="5DD557BA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Header</w:t>
            </w:r>
          </w:p>
        </w:tc>
        <w:tc>
          <w:tcPr>
            <w:tcW w:w="1631" w:type="dxa"/>
          </w:tcPr>
          <w:p w14:paraId="2FB97324" w14:textId="3FC52421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Crc32</w:t>
            </w:r>
          </w:p>
        </w:tc>
        <w:tc>
          <w:tcPr>
            <w:tcW w:w="1631" w:type="dxa"/>
          </w:tcPr>
          <w:p w14:paraId="7F772D02" w14:textId="6F6AA715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Payload</w:t>
            </w:r>
          </w:p>
        </w:tc>
        <w:tc>
          <w:tcPr>
            <w:tcW w:w="1631" w:type="dxa"/>
          </w:tcPr>
          <w:p w14:paraId="707D699C" w14:textId="1D3C24B1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Padding</w:t>
            </w:r>
          </w:p>
        </w:tc>
      </w:tr>
      <w:tr w:rsidR="00DA3FC8" w14:paraId="341BD4A8" w14:textId="164976BE" w:rsidTr="007848E6">
        <w:trPr>
          <w:trHeight w:val="523"/>
        </w:trPr>
        <w:tc>
          <w:tcPr>
            <w:tcW w:w="1626" w:type="dxa"/>
          </w:tcPr>
          <w:p w14:paraId="537E9173" w14:textId="14EDE362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Size (bytes)</w:t>
            </w:r>
          </w:p>
        </w:tc>
        <w:tc>
          <w:tcPr>
            <w:tcW w:w="2610" w:type="dxa"/>
          </w:tcPr>
          <w:p w14:paraId="399ED340" w14:textId="5E6EEB24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14:paraId="1D1B1C5D" w14:textId="3321942F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14:paraId="0CFE62DD" w14:textId="4EC48FF6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Variable</w:t>
            </w:r>
          </w:p>
        </w:tc>
        <w:tc>
          <w:tcPr>
            <w:tcW w:w="1631" w:type="dxa"/>
          </w:tcPr>
          <w:p w14:paraId="1B5D0E40" w14:textId="7E8C0249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variable</w:t>
            </w:r>
          </w:p>
        </w:tc>
      </w:tr>
      <w:tr w:rsidR="00DA3FC8" w14:paraId="3A27802F" w14:textId="5BF85BB4" w:rsidTr="007848E6">
        <w:trPr>
          <w:trHeight w:val="523"/>
        </w:trPr>
        <w:tc>
          <w:tcPr>
            <w:tcW w:w="1626" w:type="dxa"/>
          </w:tcPr>
          <w:p w14:paraId="4CCCF7EB" w14:textId="0FC8253D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Values</w:t>
            </w:r>
          </w:p>
        </w:tc>
        <w:tc>
          <w:tcPr>
            <w:tcW w:w="2610" w:type="dxa"/>
          </w:tcPr>
          <w:p w14:paraId="6E4FE2FC" w14:textId="2193372B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 xml:space="preserve">0xAA </w:t>
            </w:r>
            <w:proofErr w:type="spellStart"/>
            <w:r w:rsidRPr="007848E6">
              <w:rPr>
                <w:sz w:val="24"/>
                <w:szCs w:val="24"/>
              </w:rPr>
              <w:t>0xAA</w:t>
            </w:r>
            <w:proofErr w:type="spellEnd"/>
            <w:r w:rsidRPr="007848E6">
              <w:rPr>
                <w:sz w:val="24"/>
                <w:szCs w:val="24"/>
              </w:rPr>
              <w:t xml:space="preserve"> </w:t>
            </w:r>
            <w:proofErr w:type="spellStart"/>
            <w:r w:rsidRPr="007848E6">
              <w:rPr>
                <w:sz w:val="24"/>
                <w:szCs w:val="24"/>
              </w:rPr>
              <w:t>0xAA</w:t>
            </w:r>
            <w:proofErr w:type="spellEnd"/>
            <w:r w:rsidRPr="007848E6">
              <w:rPr>
                <w:sz w:val="24"/>
                <w:szCs w:val="24"/>
              </w:rPr>
              <w:t xml:space="preserve"> </w:t>
            </w:r>
            <w:proofErr w:type="spellStart"/>
            <w:r w:rsidRPr="007848E6">
              <w:rPr>
                <w:sz w:val="24"/>
                <w:szCs w:val="24"/>
              </w:rPr>
              <w:t>0xAA</w:t>
            </w:r>
            <w:proofErr w:type="spellEnd"/>
          </w:p>
        </w:tc>
        <w:tc>
          <w:tcPr>
            <w:tcW w:w="1631" w:type="dxa"/>
          </w:tcPr>
          <w:p w14:paraId="09C3DDFA" w14:textId="2A3E99EE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-</w:t>
            </w:r>
          </w:p>
        </w:tc>
        <w:tc>
          <w:tcPr>
            <w:tcW w:w="1631" w:type="dxa"/>
          </w:tcPr>
          <w:p w14:paraId="6B39E35C" w14:textId="65D39D64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-</w:t>
            </w:r>
          </w:p>
        </w:tc>
        <w:tc>
          <w:tcPr>
            <w:tcW w:w="1631" w:type="dxa"/>
          </w:tcPr>
          <w:p w14:paraId="61E2F9E8" w14:textId="0249FB0B" w:rsidR="00DA3FC8" w:rsidRPr="007848E6" w:rsidRDefault="00DA3FC8" w:rsidP="00DA3FC8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0</w:t>
            </w:r>
          </w:p>
        </w:tc>
      </w:tr>
    </w:tbl>
    <w:p w14:paraId="5624EB10" w14:textId="77777777" w:rsidR="00DA3FC8" w:rsidRDefault="00DA3FC8" w:rsidP="00DA3FC8"/>
    <w:p w14:paraId="27A1EB5A" w14:textId="77777777" w:rsidR="00F113C7" w:rsidRDefault="00F113C7" w:rsidP="00DA3FC8"/>
    <w:p w14:paraId="54E71630" w14:textId="692A74A4" w:rsidR="00F113C7" w:rsidRDefault="00F113C7" w:rsidP="00F113C7">
      <w:pPr>
        <w:pStyle w:val="Heading3"/>
      </w:pPr>
      <w:r>
        <w:t>Payload format</w:t>
      </w:r>
    </w:p>
    <w:p w14:paraId="3ECBBEB1" w14:textId="5474EA98" w:rsidR="00F805A7" w:rsidRPr="00F805A7" w:rsidRDefault="00F805A7" w:rsidP="00F805A7">
      <w:r>
        <w:t xml:space="preserve">Multiple payload fields are put into each packet. There are only a single header and </w:t>
      </w:r>
      <w:proofErr w:type="spellStart"/>
      <w:r>
        <w:t>crc</w:t>
      </w:r>
      <w:proofErr w:type="spellEnd"/>
      <w:r>
        <w:t xml:space="preserve"> for each 512 sector. 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1555"/>
        <w:gridCol w:w="2693"/>
        <w:gridCol w:w="1559"/>
      </w:tblGrid>
      <w:tr w:rsidR="00F113C7" w:rsidRPr="007848E6" w14:paraId="7B443D32" w14:textId="77777777" w:rsidTr="00F113C7">
        <w:trPr>
          <w:trHeight w:val="554"/>
        </w:trPr>
        <w:tc>
          <w:tcPr>
            <w:tcW w:w="1555" w:type="dxa"/>
          </w:tcPr>
          <w:p w14:paraId="30C85E90" w14:textId="77777777" w:rsidR="00F113C7" w:rsidRPr="007848E6" w:rsidRDefault="00F113C7" w:rsidP="00863AEE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Field</w:t>
            </w:r>
          </w:p>
        </w:tc>
        <w:tc>
          <w:tcPr>
            <w:tcW w:w="2693" w:type="dxa"/>
          </w:tcPr>
          <w:p w14:paraId="11E079A1" w14:textId="11950889" w:rsidR="00F113C7" w:rsidRPr="007848E6" w:rsidRDefault="00F113C7" w:rsidP="0086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stamp</w:t>
            </w:r>
          </w:p>
        </w:tc>
        <w:tc>
          <w:tcPr>
            <w:tcW w:w="1559" w:type="dxa"/>
          </w:tcPr>
          <w:p w14:paraId="6BA6DB9E" w14:textId="75ECFB82" w:rsidR="00F113C7" w:rsidRPr="007848E6" w:rsidRDefault="00F113C7" w:rsidP="0086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F113C7" w:rsidRPr="007848E6" w14:paraId="2E453379" w14:textId="77777777" w:rsidTr="00F113C7">
        <w:trPr>
          <w:trHeight w:val="523"/>
        </w:trPr>
        <w:tc>
          <w:tcPr>
            <w:tcW w:w="1555" w:type="dxa"/>
          </w:tcPr>
          <w:p w14:paraId="03ECB0A9" w14:textId="77777777" w:rsidR="00F113C7" w:rsidRPr="007848E6" w:rsidRDefault="00F113C7" w:rsidP="00863AEE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Size (bytes)</w:t>
            </w:r>
          </w:p>
        </w:tc>
        <w:tc>
          <w:tcPr>
            <w:tcW w:w="2693" w:type="dxa"/>
          </w:tcPr>
          <w:p w14:paraId="2A4202DC" w14:textId="1D753AC6" w:rsidR="00F113C7" w:rsidRPr="007848E6" w:rsidRDefault="00F113C7" w:rsidP="0086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17485FE" w14:textId="2640F016" w:rsidR="00F113C7" w:rsidRPr="007848E6" w:rsidRDefault="00F113C7" w:rsidP="0086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F113C7" w:rsidRPr="007848E6" w14:paraId="47AC6CBD" w14:textId="77777777" w:rsidTr="00F113C7">
        <w:trPr>
          <w:trHeight w:val="523"/>
        </w:trPr>
        <w:tc>
          <w:tcPr>
            <w:tcW w:w="1555" w:type="dxa"/>
          </w:tcPr>
          <w:p w14:paraId="2FD46666" w14:textId="77777777" w:rsidR="00F113C7" w:rsidRPr="007848E6" w:rsidRDefault="00F113C7" w:rsidP="00863AEE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Values</w:t>
            </w:r>
          </w:p>
        </w:tc>
        <w:tc>
          <w:tcPr>
            <w:tcW w:w="2693" w:type="dxa"/>
          </w:tcPr>
          <w:p w14:paraId="02692ECD" w14:textId="355C90F4" w:rsidR="00F113C7" w:rsidRPr="007848E6" w:rsidRDefault="00F113C7" w:rsidP="0086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835167D" w14:textId="77777777" w:rsidR="00F113C7" w:rsidRPr="007848E6" w:rsidRDefault="00F113C7" w:rsidP="00863AEE">
            <w:pPr>
              <w:rPr>
                <w:sz w:val="24"/>
                <w:szCs w:val="24"/>
              </w:rPr>
            </w:pPr>
            <w:r w:rsidRPr="007848E6">
              <w:rPr>
                <w:sz w:val="24"/>
                <w:szCs w:val="24"/>
              </w:rPr>
              <w:t>-</w:t>
            </w:r>
          </w:p>
        </w:tc>
      </w:tr>
    </w:tbl>
    <w:p w14:paraId="7DF04F9D" w14:textId="77777777" w:rsidR="00F113C7" w:rsidRPr="00F113C7" w:rsidRDefault="00F113C7" w:rsidP="00F113C7"/>
    <w:sectPr w:rsidR="00F113C7" w:rsidRPr="00F1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40"/>
    <w:rsid w:val="001412FD"/>
    <w:rsid w:val="00197B40"/>
    <w:rsid w:val="00237646"/>
    <w:rsid w:val="002A3132"/>
    <w:rsid w:val="002E6215"/>
    <w:rsid w:val="0046032B"/>
    <w:rsid w:val="00532DD7"/>
    <w:rsid w:val="007848E6"/>
    <w:rsid w:val="00B203D6"/>
    <w:rsid w:val="00DA3FC8"/>
    <w:rsid w:val="00EF4006"/>
    <w:rsid w:val="00F113C7"/>
    <w:rsid w:val="00F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4D22"/>
  <w15:chartTrackingRefBased/>
  <w15:docId w15:val="{4C37D622-7FA1-4CAE-B9F1-0141E1C2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8</cp:revision>
  <dcterms:created xsi:type="dcterms:W3CDTF">2024-03-03T23:04:00Z</dcterms:created>
  <dcterms:modified xsi:type="dcterms:W3CDTF">2024-03-03T23:24:00Z</dcterms:modified>
</cp:coreProperties>
</file>