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5.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w:t>
      </w:r>
      <w:r>
        <w:t xml:space="preserve"> </w:t>
      </w:r>
      <w:r>
        <w:t xml:space="preserve">Rev</w:t>
      </w:r>
      <w:r>
        <w:t xml:space="preserve"> </w:t>
      </w:r>
      <w:r>
        <w:t xml:space="preserve">DIA</w:t>
      </w:r>
      <w:r>
        <w:t xml:space="preserve"> </w:t>
      </w:r>
      <w:r>
        <w:t xml:space="preserve">Chap</w:t>
      </w:r>
      <w:r>
        <w:t xml:space="preserve"> </w:t>
      </w:r>
      <w:r>
        <w:t xml:space="preserve">?</w:t>
      </w:r>
      <w:r>
        <w:t xml:space="preserve"> </w:t>
      </w:r>
      <w:r>
        <w:t xml:space="preserve">Future</w:t>
      </w:r>
    </w:p>
    <w:p>
      <w:pPr>
        <w:pStyle w:val="Date"/>
      </w:pPr>
      <w:r>
        <w:t xml:space="preserve">2019-03-18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rPr>
          <w:b/>
        </w:rPr>
        <w:t xml:space="preserve">Zagatti et al. (2018)</w:t>
      </w:r>
      <w:r>
        <w:t xml:space="preserve"> </w:t>
      </w:r>
      <w:r>
        <w:t xml:space="preserve">have an empirical study</w:t>
      </w:r>
    </w:p>
    <w:p>
      <w:pPr>
        <w:pStyle w:val="Heading1"/>
      </w:pPr>
      <w:bookmarkStart w:id="21" w:name="problems"/>
      <w:r>
        <w:t xml:space="preserve">PROBLEMs</w:t>
      </w:r>
      <w:bookmarkEnd w:id="21"/>
    </w:p>
    <w:p>
      <w:pPr>
        <w:pStyle w:val="Heading2"/>
      </w:pPr>
      <w:bookmarkStart w:id="22" w:name="hard-to-see-where-water-comes-from-wrm-perspective"/>
      <w:r>
        <w:t xml:space="preserve">Hard to</w:t>
      </w:r>
      <w:r>
        <w:t xml:space="preserve"> </w:t>
      </w:r>
      <w:r>
        <w:t xml:space="preserve">“</w:t>
      </w:r>
      <w:r>
        <w:t xml:space="preserve">see</w:t>
      </w:r>
      <w:r>
        <w:t xml:space="preserve">”</w:t>
      </w:r>
      <w:r>
        <w:t xml:space="preserve"> </w:t>
      </w:r>
      <w:r>
        <w:t xml:space="preserve">where water comes from (WRM perspective)</w:t>
      </w:r>
      <w:bookmarkEnd w:id="22"/>
    </w:p>
    <w:p>
      <w:pPr>
        <w:pStyle w:val="Heading2"/>
      </w:pPr>
      <w:bookmarkStart w:id="23" w:name="hard-to-know-what-consumes-more-water-consumer-perspective"/>
      <w:r>
        <w:t xml:space="preserve">Hard to know what consumes more water (consumer perspective)</w:t>
      </w:r>
      <w:bookmarkEnd w:id="23"/>
    </w:p>
    <w:p>
      <w:pPr>
        <w:numPr>
          <w:numId w:val="1002"/>
          <w:ilvl w:val="0"/>
        </w:numPr>
      </w:pPr>
      <w:r>
        <w:rPr>
          <w:i/>
        </w:rPr>
        <w:t xml:space="preserve">Agriculture</w:t>
      </w:r>
      <w:r>
        <w:t xml:space="preserve">, which uses 80% of all the water humans consume—could grow far more food with far less water with improved technologies and irrigation practices.</w:t>
      </w:r>
    </w:p>
    <w:p>
      <w:pPr>
        <w:numPr>
          <w:numId w:val="1002"/>
          <w:ilvl w:val="0"/>
        </w:numPr>
      </w:pPr>
      <w:r>
        <w:t xml:space="preserve">In our</w:t>
      </w:r>
      <w:r>
        <w:t xml:space="preserve"> </w:t>
      </w:r>
      <w:r>
        <w:rPr>
          <w:b/>
        </w:rPr>
        <w:t xml:space="preserve">cities</w:t>
      </w:r>
      <w:r>
        <w:t xml:space="preserve">, as much as a third of all water is lost to leaks or inefficient uses.</w:t>
      </w:r>
    </w:p>
    <w:p>
      <w:pPr>
        <w:numPr>
          <w:numId w:val="1002"/>
          <w:ilvl w:val="0"/>
        </w:numPr>
      </w:pPr>
      <w:r>
        <w:t xml:space="preserve">there is a</w:t>
      </w:r>
      <w:r>
        <w:t xml:space="preserve"> </w:t>
      </w:r>
      <w:r>
        <w:rPr>
          <w:i/>
        </w:rPr>
        <w:t xml:space="preserve">water</w:t>
      </w:r>
      <w:r>
        <w:rPr>
          <w:i/>
        </w:rPr>
        <w:t xml:space="preserve"> </w:t>
      </w:r>
      <w:r>
        <w:rPr>
          <w:i/>
        </w:rPr>
        <w:t xml:space="preserve">“</w:t>
      </w:r>
      <w:r>
        <w:rPr>
          <w:i/>
        </w:rPr>
        <w:t xml:space="preserve">footprint</w:t>
      </w:r>
      <w:r>
        <w:rPr>
          <w:i/>
        </w:rPr>
        <w:t xml:space="preserve">”</w:t>
      </w:r>
      <w:r>
        <w:rPr>
          <w:i/>
        </w:rPr>
        <w:t xml:space="preserve"> </w:t>
      </w:r>
      <w:r>
        <w:rPr>
          <w:i/>
        </w:rPr>
        <w:t xml:space="preserve">embedded in everything we do</w:t>
      </w:r>
      <w:r>
        <w:t xml:space="preserve">: for irrigation, to grow cotton or produce steel, to make cell phones or cars, to water our gardens, and flush our toilets.</w:t>
      </w:r>
    </w:p>
    <w:p>
      <w:pPr>
        <w:pStyle w:val="FirstParagraph"/>
      </w:pPr>
      <w:r>
        <w:rPr>
          <w:i/>
        </w:rPr>
        <w:t xml:space="preserve">“</w:t>
      </w:r>
      <w:r>
        <w:rPr>
          <w:i/>
        </w:rPr>
        <w:t xml:space="preserve">The average American water footprint is 7,800 liters per day. Compare that with Germans who have a water footprint of 3,900 liters or the Chinese with 2,900 liters.</w:t>
      </w:r>
      <w:r>
        <w:rPr>
          <w:i/>
        </w:rPr>
        <w:t xml:space="preserve">”</w:t>
      </w:r>
      <w:r>
        <w:t xml:space="preserve"> </w:t>
      </w:r>
      <w:r>
        <w:t xml:space="preserve">(See Thakar 2018)</w:t>
      </w:r>
    </w:p>
    <w:p>
      <w:pPr>
        <w:pStyle w:val="BodyText"/>
      </w:pPr>
      <w:r>
        <w:drawing>
          <wp:inline>
            <wp:extent cx="3683000" cy="6070600"/>
            <wp:effectExtent b="0" l="0" r="0" t="0"/>
            <wp:docPr descr="Image 1" title="" id="1" name="Picture"/>
            <a:graphic>
              <a:graphicData uri="http://schemas.openxmlformats.org/drawingml/2006/picture">
                <pic:pic>
                  <pic:nvPicPr>
                    <pic:cNvPr descr="assets/WaterFoot_pizza.png" id="0" name="Picture"/>
                    <pic:cNvPicPr>
                      <a:picLocks noChangeArrowheads="1" noChangeAspect="1"/>
                    </pic:cNvPicPr>
                  </pic:nvPicPr>
                  <pic:blipFill>
                    <a:blip r:embed="rId24"/>
                    <a:stretch>
                      <a:fillRect/>
                    </a:stretch>
                  </pic:blipFill>
                  <pic:spPr bwMode="auto">
                    <a:xfrm>
                      <a:off x="0" y="0"/>
                      <a:ext cx="3683000" cy="6070600"/>
                    </a:xfrm>
                    <a:prstGeom prst="rect">
                      <a:avLst/>
                    </a:prstGeom>
                    <a:noFill/>
                    <a:ln w="9525">
                      <a:noFill/>
                      <a:headEnd/>
                      <a:tailEnd/>
                    </a:ln>
                  </pic:spPr>
                </pic:pic>
              </a:graphicData>
            </a:graphic>
          </wp:inline>
        </w:drawing>
      </w:r>
      <w:r>
        <w:drawing>
          <wp:inline>
            <wp:extent cx="2730500" cy="3200400"/>
            <wp:effectExtent b="0" l="0" r="0" t="0"/>
            <wp:docPr descr="Image 2" title="" id="1" name="Picture"/>
            <a:graphic>
              <a:graphicData uri="http://schemas.openxmlformats.org/drawingml/2006/picture">
                <pic:pic>
                  <pic:nvPicPr>
                    <pic:cNvPr descr="assets/WatFoot_coffe.png" id="0" name="Picture"/>
                    <pic:cNvPicPr>
                      <a:picLocks noChangeArrowheads="1" noChangeAspect="1"/>
                    </pic:cNvPicPr>
                  </pic:nvPicPr>
                  <pic:blipFill>
                    <a:blip r:embed="rId25"/>
                    <a:stretch>
                      <a:fillRect/>
                    </a:stretch>
                  </pic:blipFill>
                  <pic:spPr bwMode="auto">
                    <a:xfrm>
                      <a:off x="0" y="0"/>
                      <a:ext cx="2730500" cy="3200400"/>
                    </a:xfrm>
                    <a:prstGeom prst="rect">
                      <a:avLst/>
                    </a:prstGeom>
                    <a:noFill/>
                    <a:ln w="9525">
                      <a:noFill/>
                      <a:headEnd/>
                      <a:tailEnd/>
                    </a:ln>
                  </pic:spPr>
                </pic:pic>
              </a:graphicData>
            </a:graphic>
          </wp:inline>
        </w:drawing>
      </w:r>
      <w:r>
        <w:t xml:space="preserve"> </w:t>
      </w:r>
      <w:r>
        <w:drawing>
          <wp:inline>
            <wp:extent cx="3822700" cy="8394700"/>
            <wp:effectExtent b="0" l="0" r="0" t="0"/>
            <wp:docPr descr="Image 3" title="" id="1" name="Picture"/>
            <a:graphic>
              <a:graphicData uri="http://schemas.openxmlformats.org/drawingml/2006/picture">
                <pic:pic>
                  <pic:nvPicPr>
                    <pic:cNvPr descr="assets/WaterFoot_pig.png" id="0" name="Picture"/>
                    <pic:cNvPicPr>
                      <a:picLocks noChangeArrowheads="1" noChangeAspect="1"/>
                    </pic:cNvPicPr>
                  </pic:nvPicPr>
                  <pic:blipFill>
                    <a:blip r:embed="rId26"/>
                    <a:stretch>
                      <a:fillRect/>
                    </a:stretch>
                  </pic:blipFill>
                  <pic:spPr bwMode="auto">
                    <a:xfrm>
                      <a:off x="0" y="0"/>
                      <a:ext cx="3822700" cy="8394700"/>
                    </a:xfrm>
                    <a:prstGeom prst="rect">
                      <a:avLst/>
                    </a:prstGeom>
                    <a:noFill/>
                    <a:ln w="9525">
                      <a:noFill/>
                      <a:headEnd/>
                      <a:tailEnd/>
                    </a:ln>
                  </pic:spPr>
                </pic:pic>
              </a:graphicData>
            </a:graphic>
          </wp:inline>
        </w:drawing>
      </w:r>
      <w:r>
        <w:drawing>
          <wp:inline>
            <wp:extent cx="2705100" cy="5295900"/>
            <wp:effectExtent b="0" l="0" r="0" t="0"/>
            <wp:docPr descr="Image 4" title="" id="1" name="Picture"/>
            <a:graphic>
              <a:graphicData uri="http://schemas.openxmlformats.org/drawingml/2006/picture">
                <pic:pic>
                  <pic:nvPicPr>
                    <pic:cNvPr descr="assets/WatFoot_chicken.png" id="0" name="Picture"/>
                    <pic:cNvPicPr>
                      <a:picLocks noChangeArrowheads="1" noChangeAspect="1"/>
                    </pic:cNvPicPr>
                  </pic:nvPicPr>
                  <pic:blipFill>
                    <a:blip r:embed="rId27"/>
                    <a:stretch>
                      <a:fillRect/>
                    </a:stretch>
                  </pic:blipFill>
                  <pic:spPr bwMode="auto">
                    <a:xfrm>
                      <a:off x="0" y="0"/>
                      <a:ext cx="2705100" cy="5295900"/>
                    </a:xfrm>
                    <a:prstGeom prst="rect">
                      <a:avLst/>
                    </a:prstGeom>
                    <a:noFill/>
                    <a:ln w="9525">
                      <a:noFill/>
                      <a:headEnd/>
                      <a:tailEnd/>
                    </a:ln>
                  </pic:spPr>
                </pic:pic>
              </a:graphicData>
            </a:graphic>
          </wp:inline>
        </w:drawing>
      </w:r>
    </w:p>
    <w:p>
      <w:pPr>
        <w:pStyle w:val="BodyText"/>
      </w:pPr>
      <w:r>
        <w:t xml:space="preserve">(see Hoekstra and van Heek 2017)</w:t>
      </w:r>
    </w:p>
    <w:p>
      <w:pPr>
        <w:pStyle w:val="Heading2"/>
      </w:pPr>
      <w:bookmarkStart w:id="28" w:name="hard-to-price-adequately-regulation-suppliers"/>
      <w:r>
        <w:t xml:space="preserve">Hard to price adequately (regulation + suppliers’)</w:t>
      </w:r>
      <w:bookmarkEnd w:id="28"/>
    </w:p>
    <w:p>
      <w:pPr>
        <w:pStyle w:val="Heading1"/>
      </w:pPr>
      <w:bookmarkStart w:id="29" w:name="innovative-solutions"/>
      <w:r>
        <w:t xml:space="preserve">(Innovative) SOLUTIONs</w:t>
      </w:r>
      <w:bookmarkEnd w:id="29"/>
    </w:p>
    <w:p>
      <w:pPr>
        <w:pStyle w:val="Heading2"/>
      </w:pPr>
      <w:bookmarkStart w:id="30" w:name="hard-to-see-wrm-perspective-rs-for-groundwater-water-footprint"/>
      <w:r>
        <w:t xml:space="preserve">Hard to</w:t>
      </w:r>
      <w:r>
        <w:t xml:space="preserve"> </w:t>
      </w:r>
      <w:r>
        <w:t xml:space="preserve">“</w:t>
      </w:r>
      <w:r>
        <w:t xml:space="preserve">see</w:t>
      </w:r>
      <w:r>
        <w:t xml:space="preserve">”</w:t>
      </w:r>
      <w:r>
        <w:t xml:space="preserve"> </w:t>
      </w:r>
      <w:r>
        <w:t xml:space="preserve">(WRM perspective) –&gt; RS for Groundwater / Water footprint</w:t>
      </w:r>
      <w:bookmarkEnd w:id="30"/>
    </w:p>
    <w:p>
      <w:pPr>
        <w:pStyle w:val="Heading4"/>
      </w:pPr>
      <w:bookmarkStart w:id="31" w:name="take-it-from-new-places"/>
      <w:r>
        <w:t xml:space="preserve">Take it from new places</w:t>
      </w:r>
      <w:bookmarkEnd w:id="31"/>
    </w:p>
    <w:p>
      <w:pPr>
        <w:pStyle w:val="Compact"/>
        <w:numPr>
          <w:numId w:val="1003"/>
          <w:ilvl w:val="0"/>
        </w:numPr>
      </w:pPr>
      <w:r>
        <w:t xml:space="preserve">Singapore (NEwwater) but also Namibia Widhoek (1/4 of water is reused ??? )</w:t>
      </w:r>
      <w:r>
        <w:br w:type="textWrapping"/>
      </w:r>
      <w:hyperlink r:id="rId32">
        <w:r>
          <w:rPr>
            <w:rStyle w:val="Hyperlink"/>
          </w:rPr>
          <w:t xml:space="preserve">https://qz.com/is/what-happens-next-2/1438726/future-of-water/</w:t>
        </w:r>
      </w:hyperlink>
    </w:p>
    <w:p>
      <w:pPr>
        <w:pStyle w:val="Heading2"/>
      </w:pPr>
      <w:bookmarkStart w:id="33" w:name="hard-to-price-adequately-regulation-suppliers-local-answer-china-sponge-cities"/>
      <w:r>
        <w:t xml:space="preserve">Hard to price adequately (regulation + suppliers’) –&gt; Local answer? (China sponge cities? )</w:t>
      </w:r>
      <w:bookmarkEnd w:id="33"/>
    </w:p>
    <w:p>
      <w:pPr>
        <w:numPr>
          <w:numId w:val="1004"/>
          <w:ilvl w:val="0"/>
        </w:numPr>
      </w:pPr>
      <w:r>
        <w:t xml:space="preserve">Decisions at personal level (food, appliances, garden)</w:t>
      </w:r>
      <w:r>
        <w:t xml:space="preserve"> </w:t>
      </w:r>
      <w:r>
        <w:t xml:space="preserve">“</w:t>
      </w:r>
      <w:r>
        <w:t xml:space="preserve">ew home appliances like washing machines, dishwashers, toilets, and showerheads use far less water now than they did a few years ago. The average toilet in the United States used to require over 20 liters per flush. Today, the national standard is six liters, and newer models use even less (and work even better).</w:t>
      </w:r>
      <w:r>
        <w:t xml:space="preserve">”</w:t>
      </w:r>
      <w:r>
        <w:t xml:space="preserve"> </w:t>
      </w:r>
      <w:r>
        <w:t xml:space="preserve">(</w:t>
      </w:r>
      <w:r>
        <w:rPr>
          <w:b/>
        </w:rPr>
        <w:t xml:space="preserve">Gleick (2018)</w:t>
      </w:r>
      <w:r>
        <w:t xml:space="preserve">)</w:t>
      </w:r>
    </w:p>
    <w:p>
      <w:pPr>
        <w:pStyle w:val="Compact"/>
        <w:numPr>
          <w:numId w:val="1004"/>
          <w:ilvl w:val="0"/>
        </w:numPr>
      </w:pPr>
      <w:r>
        <w:t xml:space="preserve">Decisions at communty level (use of stormwater, local streams, … local weels )</w:t>
      </w:r>
    </w:p>
    <w:p>
      <w:pPr>
        <w:pStyle w:val="Compact"/>
        <w:numPr>
          <w:numId w:val="1004"/>
          <w:ilvl w:val="0"/>
        </w:numPr>
      </w:pPr>
      <w:r>
        <w:t xml:space="preserve">city</w:t>
      </w:r>
    </w:p>
    <w:p>
      <w:pPr>
        <w:numPr>
          <w:numId w:val="1004"/>
          <w:ilvl w:val="0"/>
        </w:numPr>
      </w:pPr>
      <w:r>
        <w:t xml:space="preserve">countries</w:t>
      </w:r>
    </w:p>
    <w:p>
      <w:pPr>
        <w:pStyle w:val="Heading2"/>
      </w:pPr>
      <w:bookmarkStart w:id="34" w:name="inform-the-consumers-consumer-perspective-sarni-etc."/>
      <w:r>
        <w:t xml:space="preserve">Inform the consumers (consumer perspective) –&gt; Sarni etc.</w:t>
      </w:r>
      <w:bookmarkEnd w:id="34"/>
    </w:p>
    <w:p>
      <w:pPr>
        <w:pStyle w:val="Heading1"/>
      </w:pPr>
      <w:bookmarkStart w:id="35" w:name="bibliography"/>
      <w:r>
        <w:t xml:space="preserve">BIBLIOGRAPHY</w:t>
      </w:r>
      <w:bookmarkEnd w:id="35"/>
    </w:p>
    <w:bookmarkStart w:id="41" w:name="refs"/>
    <w:bookmarkStart w:id="36" w:name="ref-gleick_we_2018"/>
    <w:p>
      <w:pPr>
        <w:pStyle w:val="Bibliography"/>
      </w:pPr>
      <w:r>
        <w:t xml:space="preserve">Gleick, Peter. 2018. “We Have Enough WaterWe Just Waste Too Much of It,” November.</w:t>
      </w:r>
    </w:p>
    <w:bookmarkEnd w:id="36"/>
    <w:bookmarkStart w:id="37" w:name="ref-hoekstra_water_2017"/>
    <w:p>
      <w:pPr>
        <w:pStyle w:val="Bibliography"/>
      </w:pPr>
      <w:r>
        <w:t xml:space="preserve">Hoekstra, Arjen, and Michiel van Heek. 2017. “Water Footprint Network: Product Gallery.” /en/resources/interactive-tools/product-gallery/.</w:t>
      </w:r>
    </w:p>
    <w:bookmarkEnd w:id="37"/>
    <w:bookmarkStart w:id="38" w:name="ref-thakar_your_2018"/>
    <w:p>
      <w:pPr>
        <w:pStyle w:val="Bibliography"/>
      </w:pPr>
      <w:r>
        <w:t xml:space="preserve">Thakar, Ruth Mathews, Kanika. 2018. “Your Water Footprint Is Just as Important as Your Carbon Footprint.”</w:t>
      </w:r>
      <w:r>
        <w:t xml:space="preserve"> </w:t>
      </w:r>
      <w:r>
        <w:rPr>
          <w:i/>
        </w:rPr>
        <w:t xml:space="preserve">Quartz</w:t>
      </w:r>
      <w:r>
        <w:t xml:space="preserve">, November.</w:t>
      </w:r>
    </w:p>
    <w:bookmarkEnd w:id="38"/>
    <w:bookmarkStart w:id="40" w:name="ref-zagatti_trip_2018"/>
    <w:p>
      <w:pPr>
        <w:pStyle w:val="Bibliography"/>
      </w:pPr>
      <w:r>
        <w:t xml:space="preserve">Zagatti, Guilherme Augusto, Miguel Gonzalez, Paolo Avner, Nancy Lozano-Gracia, Christopher J. Brooks, Maximilian Albert, Jonathan Gray, et al. 2018. “A Trip to Work: Estimation of Origin and Destination of Commuting Patterns in the Main Metropolitan Regions of Haiti Using CDR.”</w:t>
      </w:r>
      <w:r>
        <w:t xml:space="preserve"> </w:t>
      </w:r>
      <w:r>
        <w:rPr>
          <w:i/>
        </w:rPr>
        <w:t xml:space="preserve">Development Engineering</w:t>
      </w:r>
      <w:r>
        <w:t xml:space="preserve"> </w:t>
      </w:r>
      <w:r>
        <w:t xml:space="preserve">3:133–65.</w:t>
      </w:r>
      <w:r>
        <w:t xml:space="preserve"> </w:t>
      </w:r>
      <w:hyperlink r:id="rId39">
        <w:r>
          <w:rPr>
            <w:rStyle w:val="Hyperlink"/>
          </w:rPr>
          <w:t xml:space="preserve">https://doi.org/10.1016/j.deveng.2018.03.002</w:t>
        </w:r>
      </w:hyperlink>
      <w:r>
        <w:t xml:space="preserve">.</w:t>
      </w:r>
    </w:p>
    <w:bookmarkEnd w:id="40"/>
    <w:bookmarkEnd w:id="41"/>
    <w:sectPr w:rsidR="005D7B6B" w:rsidRPr="00502DC4">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0000500000000020000"/>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5426020"/>
      <w:docPartObj>
        <w:docPartGallery w:val="Page Numbers (Bottom of Page)"/>
        <w:docPartUnique/>
      </w:docPartObj>
    </w:sdtPr>
    <w:sdtContent>
      <w:p w14:paraId="29E2E601" w14:textId="5BE22829" w:rsidR="00502DC4" w:rsidRDefault="00502DC4" w:rsidP="00286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3500D" w14:textId="77777777" w:rsidR="00502DC4" w:rsidRDefault="00502DC4" w:rsidP="00502D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8257996"/>
      <w:docPartObj>
        <w:docPartGallery w:val="Page Numbers (Bottom of Page)"/>
        <w:docPartUnique/>
      </w:docPartObj>
    </w:sdtPr>
    <w:sdtContent>
      <w:p w14:paraId="0DEFC08E" w14:textId="24F35975" w:rsidR="00502DC4" w:rsidRDefault="00502DC4" w:rsidP="00286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B6F0A" w14:textId="77777777" w:rsidR="00502DC4" w:rsidRDefault="00502DC4" w:rsidP="00502DC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08E87" w14:textId="77777777" w:rsidR="00486B3D" w:rsidRDefault="00486B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0DEBB" w14:textId="77777777" w:rsidR="00486B3D" w:rsidRDefault="00486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E3C71" w14:textId="77FA80D5" w:rsidR="00486B3D" w:rsidRPr="00486B3D" w:rsidRDefault="00486B3D">
    <w:pPr>
      <w:pStyle w:val="Header"/>
      <w:rPr>
        <w:sz w:val="36"/>
      </w:rPr>
    </w:pPr>
    <w:r w:rsidRPr="00486B3D">
      <w:rPr>
        <w:rFonts w:ascii="Abadi MT Condensed Light" w:hAnsi="Abadi MT Condensed Light"/>
        <w:color w:val="00B0F0"/>
        <w:sz w:val="15"/>
        <w:szCs w:val="10"/>
      </w:rPr>
      <w:fldChar w:fldCharType="begin"/>
    </w:r>
    <w:r w:rsidRPr="00486B3D">
      <w:rPr>
        <w:rFonts w:ascii="Abadi MT Condensed Light" w:hAnsi="Abadi MT Condensed Light"/>
        <w:color w:val="00B0F0"/>
        <w:sz w:val="15"/>
        <w:szCs w:val="10"/>
      </w:rPr>
      <w:instrText xml:space="preserve"> FILENAME \p </w:instrText>
    </w:r>
    <w:r w:rsidRPr="00486B3D">
      <w:rPr>
        <w:rFonts w:ascii="Abadi MT Condensed Light" w:hAnsi="Abadi MT Condensed Light"/>
        <w:color w:val="00B0F0"/>
        <w:sz w:val="15"/>
        <w:szCs w:val="10"/>
      </w:rPr>
      <w:fldChar w:fldCharType="separate"/>
    </w:r>
    <w:r w:rsidRPr="00486B3D">
      <w:rPr>
        <w:rFonts w:ascii="Abadi MT Condensed Light" w:hAnsi="Abadi MT Condensed Light"/>
        <w:noProof/>
        <w:color w:val="00B0F0"/>
        <w:sz w:val="15"/>
        <w:szCs w:val="10"/>
      </w:rPr>
      <w:t>https://idbg-my.sharepoint.com/personal/lmmimmi_iadb_org/Documents/DIA_10_Futuro/Chap-Futuro_LitRev/reports/01_LitRevFut.docx</w:t>
    </w:r>
    <w:r w:rsidRPr="00486B3D">
      <w:rPr>
        <w:rFonts w:ascii="Abadi MT Condensed Light" w:hAnsi="Abadi MT Condensed Light"/>
        <w:color w:val="00B0F0"/>
        <w:sz w:val="15"/>
        <w:szCs w:val="10"/>
      </w:rPr>
      <w:fldChar w:fldCharType="end"/>
    </w:r>
    <w:bookmarkStart w:id="20" w:name="_GoBack"/>
    <w:bookmarkEnd w:id="20"/>
    <w:r w:rsidRPr="00486B3D">
      <w:rPr>
        <w:sz w:val="36"/>
      </w:rPr>
      <w:fldChar w:fldCharType="begin"/>
    </w:r>
    <w:r w:rsidRPr="00486B3D">
      <w:rPr>
        <w:sz w:val="36"/>
      </w:rPr>
      <w:instrText xml:space="preserve"> AUTHOR  \* MERGEFORMAT </w:instrText>
    </w:r>
    <w:r w:rsidRPr="00486B3D">
      <w:rPr>
        <w:sz w:val="3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E2A4" w14:textId="77777777" w:rsidR="00486B3D" w:rsidRDefault="00486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BBB1AB"/>
    <w:multiLevelType w:val="multilevel"/>
    <w:tmpl w:val="C7440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55DD67D"/>
    <w:multiLevelType w:val="multilevel"/>
    <w:tmpl w:val="0282B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5ACCB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db80f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915eb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ae08f3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02DC4"/>
    <w:pPr>
      <w:spacing w:after="100"/>
    </w:pPr>
  </w:style>
  <w:style w:type="paragraph" w:styleId="TOC2">
    <w:name w:val="toc 2"/>
    <w:basedOn w:val="Normal"/>
    <w:next w:val="Normal"/>
    <w:autoRedefine/>
    <w:uiPriority w:val="39"/>
    <w:unhideWhenUsed/>
    <w:rsid w:val="00502DC4"/>
    <w:pPr>
      <w:spacing w:after="100"/>
      <w:ind w:left="240"/>
    </w:pPr>
  </w:style>
  <w:style w:type="paragraph" w:styleId="Footer">
    <w:name w:val="footer"/>
    <w:basedOn w:val="Normal"/>
    <w:link w:val="FooterChar"/>
    <w:unhideWhenUsed/>
    <w:rsid w:val="00502DC4"/>
    <w:pPr>
      <w:tabs>
        <w:tab w:val="center" w:pos="4680"/>
        <w:tab w:val="right" w:pos="9360"/>
      </w:tabs>
      <w:spacing w:after="0"/>
    </w:pPr>
  </w:style>
  <w:style w:type="character" w:customStyle="1" w:styleId="FooterChar">
    <w:name w:val="Footer Char"/>
    <w:basedOn w:val="DefaultParagraphFont"/>
    <w:link w:val="Footer"/>
    <w:rsid w:val="00502DC4"/>
  </w:style>
  <w:style w:type="character" w:styleId="PageNumber">
    <w:name w:val="page number"/>
    <w:basedOn w:val="DefaultParagraphFont"/>
    <w:semiHidden/>
    <w:unhideWhenUsed/>
    <w:rsid w:val="00502DC4"/>
  </w:style>
  <w:style w:type="paragraph" w:styleId="Header">
    <w:name w:val="header"/>
    <w:basedOn w:val="Normal"/>
    <w:link w:val="HeaderChar"/>
    <w:unhideWhenUsed/>
    <w:rsid w:val="00486B3D"/>
    <w:pPr>
      <w:tabs>
        <w:tab w:val="center" w:pos="4680"/>
        <w:tab w:val="right" w:pos="9360"/>
      </w:tabs>
      <w:spacing w:after="0"/>
    </w:pPr>
  </w:style>
  <w:style w:type="character" w:customStyle="1" w:styleId="HeaderChar">
    <w:name w:val="Header Char"/>
    <w:basedOn w:val="DefaultParagraphFont"/>
    <w:link w:val="Header"/>
    <w:rsid w:val="0048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9" Target="https://doi.org/10.1016/j.deveng.2018.03.002" TargetMode="External" /><Relationship Type="http://schemas.openxmlformats.org/officeDocument/2006/relationships/hyperlink" Id="rId32" Target="https://qz.com/is/what-happens-next-2/1438726/future-of-water/"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deveng.2018.03.002" TargetMode="External" /><Relationship Type="http://schemas.openxmlformats.org/officeDocument/2006/relationships/hyperlink" Id="rId32" Target="https://qz.com/is/what-happens-next-2/1438726/future-of-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 Rev DIA Chap ? Future</dc:title>
  <dc:creator/>
  <cp:keywords/>
  <dcterms:created xsi:type="dcterms:W3CDTF">2019-03-18T20:46:30Z</dcterms:created>
  <dcterms:modified xsi:type="dcterms:W3CDTF">2019-03-18T20:46:30Z</dcterms:modified>
</cp:coreProperties>
</file>