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Reddito medio disponibile pro capite (€), 2021-2023</w:t>
            </w:r>
          </w:p>
        </w:tc>
      </w:tr>
      <w:tr>
        <w:trPr>
          <w:cantSplit/>
          <w:trHeight w:val="286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Nord-ovest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24.910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26.265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Nord-est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23.985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25.172</w:t>
            </w:r>
          </w:p>
        </w:tc>
      </w:tr>
      <w:tr>
        <w:trPr>
          <w:cantSplit/>
          <w:trHeight w:val="337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N.D.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282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Centro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22.223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23.113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Sud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16.213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16.999</w:t>
            </w:r>
          </w:p>
        </w:tc>
      </w:tr>
      <w:tr>
        <w:trPr>
          <w:cantSplit/>
          <w:trHeight w:val="289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Isole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15.517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16.527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17.439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2026-05-20T14:38:45Z</dcterms:modified>
  <cp:category/>
</cp:coreProperties>
</file>