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90" w:hRule="auto"/>
          <w:tblHeader/>
        </w:trPr>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Reddito medio disponibile pro capite (€), 2021-2023</w:t>
            </w:r>
          </w:p>
        </w:tc>
      </w:tr>
      <w:tr>
        <w:trPr>
          <w:cantSplit/>
          <w:trHeight w:val="286" w:hRule="auto"/>
          <w:tblHeader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cantSplit/>
          <w:trHeight w:val="289" w:hRule="auto"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20.032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21.297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22.359</w:t>
            </w:r>
          </w:p>
        </w:tc>
      </w:tr>
      <w:tr>
        <w:trPr>
          <w:cantSplit/>
          <w:trHeight w:val="289" w:hRule="auto"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Nord-ovest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23.438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24.910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26.265</w:t>
            </w:r>
          </w:p>
        </w:tc>
      </w:tr>
      <w:tr>
        <w:trPr>
          <w:cantSplit/>
          <w:trHeight w:val="289" w:hRule="auto"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Nord-est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22.546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23.985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25.172</w:t>
            </w:r>
          </w:p>
        </w:tc>
      </w:tr>
      <w:tr>
        <w:trPr>
          <w:cantSplit/>
          <w:trHeight w:val="337" w:hRule="auto"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N.D.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24.898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26.073</w:t>
            </w:r>
          </w:p>
        </w:tc>
      </w:tr>
      <w:tr>
        <w:trPr>
          <w:cantSplit/>
          <w:trHeight w:val="282" w:hRule="auto"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24.381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N.D.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27.083</w:t>
            </w:r>
          </w:p>
        </w:tc>
      </w:tr>
      <w:tr>
        <w:trPr>
          <w:cantSplit/>
          <w:trHeight w:val="282" w:hRule="auto"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Centro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20.897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22.223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23.113</w:t>
            </w:r>
          </w:p>
        </w:tc>
      </w:tr>
      <w:tr>
        <w:trPr>
          <w:cantSplit/>
          <w:trHeight w:val="289" w:hRule="auto"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Sud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15.280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16.213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16.999</w:t>
            </w:r>
          </w:p>
        </w:tc>
      </w:tr>
      <w:tr>
        <w:trPr>
          <w:cantSplit/>
          <w:trHeight w:val="289" w:hRule="auto"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Isole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15.517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16.527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17.439</w:t>
            </w:r>
          </w:p>
        </w:tc>
      </w:tr>
      <w:tr>
        <w:trPr>
          <w:cantSplit/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2026-05-14T15:34:04Z</dcterms:modified>
  <cp:category/>
</cp:coreProperties>
</file>