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gridSpan w:val="4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Musei, gallerie, monumenti e biblioteche al 2024/2025 </w:t>
            </w: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br/>
            </w: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(confronto territori) 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Tipo di istituzione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Numero totale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% di istituzioni a gestione pubblica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museo, galleria e/o raccolta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546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61,0</w:t>
            </w:r>
          </w:p>
        </w:tc>
      </w:tr>
      <w:tr>
        <w:trPr>
          <w:trHeight w:val="360" w:hRule="auto"/>
        </w:trPr>
        body 4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area /parco archeologico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teatri storici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biblioteche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1.056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42,2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Regione Emilia-Romagna, Sistema Bibliotecario Parmense (vari anni)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2026-02-12T14:43:57Z</dcterms:modified>
  <cp:category/>
</cp:coreProperties>
</file>