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Popolazione residente e straniera a Parma ed Emilia-Romagna (2025)</w:t>
            </w:r>
          </w:p>
        </w:tc>
      </w:tr>
      <w:tr>
        <w:trPr>
          <w:cantSplit/>
          <w:trHeight w:val="349" w:hRule="auto"/>
          <w:tblHeader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residente (2025)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straniera residente (2025)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% popolazione straniera sul totale (2025)</w:t>
            </w:r>
          </w:p>
        </w:tc>
      </w:tr>
      <w:tr>
        <w:trPr>
          <w:cantSplit/>
          <w:trHeight w:val="314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460.351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67.439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14,65 %</w:t>
            </w:r>
          </w:p>
        </w:tc>
      </w:tr>
      <w:tr>
        <w:trPr>
          <w:cantSplit/>
          <w:trHeight w:val="337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4.482.977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564.745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12,60 %</w:t>
            </w:r>
          </w:p>
        </w:tc>
      </w:tr>
      <w:tr>
        <w:trPr>
          <w:cantSplit/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Regione Emilia-Romagna - Statistica e Istat - Demografia in cifre,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2026-07-22T12:27:33Z</dcterms:modified>
  <cp:category/>
</cp:coreProperties>
</file>