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0"/>
        <w:tblLook w:firstRow="1" w:lastRow="0" w:firstColumn="0" w:lastColumn="0" w:noHBand="0" w:noVBand="1"/>
      </w:tblPr>
      <w:tr>
        <w:trPr>
          <w:trHeight w:val="360" w:hRule="auto"/>
          <w:tblHeader/>
        </w:trPr>
        header 1
        <w:tc>
          <w:tcPr>
            <w:gridSpan w:val="9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8"/>
                <w:szCs w:val="28"/>
                <w:color w:val="000000"/>
              </w:rPr>
              <w:t xml:space="preserve">Qualità dei servizi (confronto territori) </w:t>
            </w:r>
          </w:p>
        </w:tc>
      </w:tr>
      <w:tr>
        <w:trPr>
          <w:trHeight w:val="360" w:hRule="auto"/>
          <w:tblHeader/>
        </w:trPr>
        header 2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indicatore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unità di misura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territorio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2023</w:t>
            </w:r>
          </w:p>
        </w:tc>
      </w:tr>
      <w:tr>
        <w:trPr>
          <w:trHeight w:val="360" w:hRule="auto"/>
        </w:trPr>
        body 1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Rifiuti urbani prodotti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Kg per abitante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586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600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596</w:t>
            </w:r>
          </w:p>
        </w:tc>
      </w:tr>
      <w:tr>
        <w:trPr>
          <w:trHeight w:val="360" w:hRule="auto"/>
        </w:trPr>
        body 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664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633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641</w:t>
            </w:r>
          </w:p>
        </w:tc>
      </w:tr>
      <w:tr>
        <w:trPr>
          <w:trHeight w:val="360" w:hRule="auto"/>
        </w:trPr>
        body 3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487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501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496</w:t>
            </w:r>
          </w:p>
        </w:tc>
      </w:tr>
      <w:tr>
        <w:trPr>
          <w:trHeight w:val="360" w:hRule="auto"/>
        </w:trPr>
        body 4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Dispersione da rete idrica comunale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39,3%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31,3%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6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42,0%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body 7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Impermeabilizzazione del suolo da copertura artificiale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 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7,49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7,57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7,60</w:t>
            </w:r>
          </w:p>
        </w:tc>
      </w:tr>
      <w:tr>
        <w:trPr>
          <w:trHeight w:val="360" w:hRule="auto"/>
        </w:trPr>
        body 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8,88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8,91</w:t>
            </w:r>
          </w:p>
        </w:tc>
      </w:tr>
      <w:tr>
        <w:trPr>
          <w:trHeight w:val="360" w:hRule="auto"/>
        </w:trPr>
        body 9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7,09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7,16</w:t>
            </w:r>
          </w:p>
        </w:tc>
      </w:tr>
      <w:tr>
        <w:trPr>
          <w:trHeight w:val="360" w:hRule="auto"/>
        </w:trPr>
        body10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PM10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27</w:t>
            </w:r>
          </w:p>
        </w:tc>
      </w:tr>
      <w:tr>
        <w:trPr>
          <w:trHeight w:val="360" w:hRule="auto"/>
        </w:trPr>
        body11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body12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82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70</w:t>
            </w:r>
          </w:p>
        </w:tc>
      </w:tr>
      <w:tr>
        <w:trPr>
          <w:trHeight w:val="360" w:hRule="auto"/>
        </w:trPr>
        body13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Concentrazione media annua di PM2.5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Microgrammi per m3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17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</w:t>
            </w:r>
          </w:p>
        </w:tc>
      </w:tr>
      <w:tr>
        <w:trPr>
          <w:trHeight w:val="360" w:hRule="auto"/>
        </w:trPr>
        body14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9</w:t>
            </w:r>
          </w:p>
        </w:tc>
      </w:tr>
      <w:tr>
        <w:trPr>
          <w:trHeight w:val="360" w:hRule="auto"/>
        </w:trPr>
        body15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78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84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83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81</w:t>
            </w:r>
          </w:p>
        </w:tc>
      </w:tr>
      <w:tr>
        <w:trPr>
          <w:trHeight w:val="360" w:hRule="auto"/>
        </w:trPr>
        body16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Energia elettrica da fonti rinnovabili</w:t>
            </w:r>
          </w:p>
        </w:tc>
        <w:tc>
          <w:tcPr>
            <w:vMerge w:val="restart"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Valori percentuali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Parma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12,8%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13,2%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0C1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16,9%</w:t>
            </w:r>
          </w:p>
        </w:tc>
      </w:tr>
      <w:tr>
        <w:trPr>
          <w:trHeight w:val="360" w:hRule="auto"/>
        </w:trPr>
        body17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Emilia-Romagna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22,1%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20,5%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19,6%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21,0%</w:t>
            </w:r>
          </w:p>
        </w:tc>
      </w:tr>
      <w:tr>
        <w:trPr>
          <w:trHeight w:val="360" w:hRule="auto"/>
        </w:trPr>
        body18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vMerge/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Italia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34,3%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34,9%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37,4%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35,1%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30,7%</w:t>
            </w:r>
          </w:p>
        </w:tc>
        <w:tc>
          <w:tcPr>
            <w:tcBorders>
              <w:bottom w:val="single" w:sz="4" w:space="0" w:color="A6A6A6"/>
              <w:top w:val="single" w:sz="4" w:space="0" w:color="A6A6A6"/>
              <w:left w:val="single" w:sz="4" w:space="0" w:color="A6A6A6"/>
              <w:right w:val="single" w:sz="4" w:space="0" w:color="A6A6A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Roboto Condensed" w:hAnsi="Helvetica" w:eastAsia="Helvetica" w:cs="Roboto Condensed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36,9%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4" w:space="0" w:color="A6A6A6"/>
              <w:left w:val="none" w:sz="0" w:space="0" w:color="FFFFFF"/>
              <w:right w:val="none" w:sz="0" w:space="0" w:color="FFFFFF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80" w:right="80" w:firstLine="0" w:firstLineChars="0"/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</w:pPr>
            <w:r>
              <w:rPr>
                <w:rFonts w:ascii="Roboto Condensed" w:hAnsi="Helvetica" w:eastAsia="Helvetica" w:cs="Roboto Condensed"/>
                <w:i w:val="true"/>
                <w:b w:val="false"/>
                <w:u w:val="none"/>
                <w:strike w:val="false"/>
                <w:sz w:val="18"/>
                <w:szCs w:val="18"/>
                <w:color w:val="808080"/>
              </w:rPr>
              <w:t xml:space="preserve">Fonte: Istat, BES (Benessere Equo e Sostenibile), 2025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luisamimmi</cp:lastModifiedBy>
  <cp:revision>9</cp:revision>
  <dcterms:created xsi:type="dcterms:W3CDTF">2017-02-28T11:18:00Z</dcterms:created>
  <dcterms:modified xsi:type="dcterms:W3CDTF">2026-02-12T15:22:43Z</dcterms:modified>
  <cp:category/>
</cp:coreProperties>
</file>