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Musei, gallerie, monumenti e biblioteche al 2024/2025 </w:t>
            </w: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br/>
            </w: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(confronto territori) </w:t>
            </w:r>
          </w:p>
        </w:tc>
      </w:tr>
      <w:tr>
        <w:trPr>
          <w:trHeight w:val="360" w:hRule="auto"/>
          <w:tblHeader/>
        </w:trPr>
        header 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Tipo di istituzione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Numero totale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% di istituzioni a gestione pubblica</w:t>
            </w:r>
          </w:p>
        </w:tc>
      </w:tr>
      <w:tr>
        <w:trPr>
          <w:trHeight w:val="360" w:hRule="auto"/>
        </w:trPr>
        body 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museo, galleria e/o raccolta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 (capoluogo)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546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61,0</w:t>
            </w:r>
          </w:p>
        </w:tc>
      </w:tr>
      <w:tr>
        <w:trPr>
          <w:trHeight w:val="360" w:hRule="auto"/>
        </w:trPr>
        body 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area /parco archeologico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 (capoluogo)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teatri storici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 (capoluogo)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117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body10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biblioteche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 (capoluogo)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body11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1.056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42,2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Regione Emilia-Romagna, Sistema Bibliotecario Parmense (vari anni)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2026-02-12T15:22:44Z</dcterms:modified>
  <cp:category/>
</cp:coreProperties>
</file>