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body19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Densità e rilevanza del patrimonio museale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 100 km2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2026-02-06T15:02:12Z</dcterms:modified>
  <cp:category/>
</cp:coreProperties>
</file>