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gridSpan w:val="9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Qualità dei servizi (confronto territori) 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indicatore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unità di misura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2018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2019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2023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Copertura della rete fissa di accesso ultra veloce a internet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 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44,5%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52,1%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60,0%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36,1%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52,5%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57,6%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44,4%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53,7%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59,6%</w:t>
            </w:r>
          </w:p>
        </w:tc>
      </w:tr>
      <w:tr>
        <w:trPr>
          <w:trHeight w:val="360" w:hRule="auto"/>
        </w:trPr>
        body 4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Comuni con servizi per le famiglie interamente online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 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25,8%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52,6%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68,2%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53,6%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Raccolta differenziata dei rifiuti urbani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 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78,4%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78,7%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80,2%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79,5%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79,6%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79,7%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67,3%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70,6%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72,2%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72,2%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74,0%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77,1%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58,2%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61,3%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63,0%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64,0%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65,2%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66,6%</w:t>
            </w:r>
          </w:p>
        </w:tc>
      </w:tr>
      <w:tr>
        <w:trPr>
          <w:trHeight w:val="360" w:hRule="auto"/>
        </w:trPr>
        body10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Irregolarità del servizio elettrico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Numero medio per utente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1,4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1,4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2,5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Posti-km offerti dal Tpl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 per abitante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3793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3818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3128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3919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4015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3956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2789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2811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2280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2807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2841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2764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4582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4626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3763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4731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4694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4623</w:t>
            </w:r>
          </w:p>
        </w:tc>
      </w:tr>
      <w:tr>
        <w:trPr>
          <w:trHeight w:val="360" w:hRule="auto"/>
        </w:trPr>
        body16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Disponibilità di verde urbano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M2 per abitante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87,5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86,1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86,6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88,6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88,4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87,8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45,7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45,7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45,9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46,6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46,9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46,8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32,1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32,1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32,5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32,9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33,2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33,3</w:t>
            </w:r>
          </w:p>
        </w:tc>
      </w:tr>
      <w:tr>
        <w:trPr>
          <w:trHeight w:val="360" w:hRule="auto"/>
        </w:trPr>
        body19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Densità e rilevanza del patrimonio museale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Per 100 km2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1,14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1,09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1,15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1,16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1,62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1,62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1,30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1,42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1,46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Istat, BES (Benessere Equo e Sostenibile), 2025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luisamimmi</cp:lastModifiedBy>
  <cp:revision>9</cp:revision>
  <dcterms:created xsi:type="dcterms:W3CDTF">2017-02-28T11:18:00Z</dcterms:created>
  <dcterms:modified xsi:type="dcterms:W3CDTF">2026-02-09T12:44:12Z</dcterms:modified>
  <cp:category/>
</cp:coreProperties>
</file>