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90" w:hRule="auto"/>
          <w:tblHeader/>
        </w:trPr>
        header1
        <w:tc>
          <w:tcPr>
            <w:gridSpan w:val="4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Popolazione residente e straniera a Parma ed Emilia-Romagna (2025)</w:t>
            </w:r>
          </w:p>
        </w:tc>
      </w:tr>
      <w:tr>
        <w:trPr>
          <w:cantSplit/>
          <w:trHeight w:val="349" w:hRule="auto"/>
          <w:tblHeader/>
        </w:trPr>
        header2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Popolazione residente (2025)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Popolazione straniera residente (2025)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% popolazione straniera sul totale (2025)</w:t>
            </w:r>
          </w:p>
        </w:tc>
      </w:tr>
      <w:tr>
        <w:trPr>
          <w:cantSplit/>
          <w:trHeight w:val="314" w:hRule="auto"/>
        </w:trPr>
        body1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460.351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67.439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14,65 %</w:t>
            </w:r>
          </w:p>
        </w:tc>
      </w:tr>
      <w:tr>
        <w:trPr>
          <w:cantSplit/>
          <w:trHeight w:val="337" w:hRule="auto"/>
        </w:trPr>
        body2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4.482.977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564.745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12,60 %</w:t>
            </w:r>
          </w:p>
        </w:tc>
      </w:tr>
      <w:tr>
        <w:trPr>
          <w:cantSplit/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Regione Emilia-Romagna - Statistica e Istat - Demografia in cifre,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2026-02-09T12:44:05Z</dcterms:modified>
  <cp:category/>
</cp:coreProperties>
</file>