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gridSpan w:val="9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Qualità dei servizi (confronto territori) 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indicatore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unità di misura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2018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2019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Copertura della rete fissa di accesso ultra veloce a internet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44,5%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52,1%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60,0%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36,1%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52,5%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57,6%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33,7%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44,4%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53,7%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59,6%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Comuni con servizi per le famiglie interamente online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25,8%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52,6%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68,2%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53,6%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Raccolta differenziata dei rifiuti urbani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78,4%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80,2%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79,5%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79,6%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79,7%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67,3%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70,6%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72,2%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72,2%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74,0%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77,1%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58,2%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61,3%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63,0%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64,0%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65,2%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66,6%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Irregolarità del servizio elettrico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Numero medio per utente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1,4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1,4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2,5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Posti-km offerti dal Tpl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 abitante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3793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3818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3128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3919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4015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3956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2789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2811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2280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2807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2841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2764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4582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4626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3763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4731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4694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4623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Disponibilità di verde urbano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M2 per abitante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87,5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86,1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86,6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88,6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88,4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87,8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45,7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45,7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45,9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46,6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46,9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46,8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32,5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32,9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33,2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33,3</w:t>
            </w:r>
          </w:p>
        </w:tc>
      </w:tr>
      <w:tr>
        <w:trPr>
          <w:trHeight w:val="360" w:hRule="auto"/>
        </w:trPr>
        <w:tc>
          <w:tcPr>
            <w:gridSpan w:val="9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2026-06-09T12:25:55Z</dcterms:modified>
  <cp:category/>
</cp:coreProperties>
</file>