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gridSpan w:val="9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Qualità dei servizi (confronto territori) </w:t>
            </w:r>
          </w:p>
        </w:tc>
      </w:tr>
      <w:tr>
        <w:trPr>
          <w:trHeight w:val="360" w:hRule="auto"/>
          <w:tblHeader/>
        </w:trPr>
        header 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unità di misura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trHeight w:val="360" w:hRule="auto"/>
        </w:trPr>
        body 1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Rifiuti urbani prodotti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Kg per abitante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586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596</w:t>
            </w:r>
          </w:p>
        </w:tc>
      </w:tr>
      <w:tr>
        <w:trPr>
          <w:trHeight w:val="360" w:hRule="auto"/>
        </w:trPr>
        body 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661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664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639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633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641</w:t>
            </w:r>
          </w:p>
        </w:tc>
      </w:tr>
      <w:tr>
        <w:trPr>
          <w:trHeight w:val="360" w:hRule="auto"/>
        </w:trPr>
        body 3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487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492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496</w:t>
            </w:r>
          </w:p>
        </w:tc>
      </w:tr>
      <w:tr>
        <w:trPr>
          <w:trHeight w:val="360" w:hRule="auto"/>
        </w:trPr>
        body 4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Dispersione da rete idrica comunale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39,3%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42,9%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29,7%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6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7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Impermeabilizzazione del suolo da copertura artificiale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 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7,49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7,60</w:t>
            </w:r>
          </w:p>
        </w:tc>
      </w:tr>
      <w:tr>
        <w:trPr>
          <w:trHeight w:val="360" w:hRule="auto"/>
        </w:trPr>
        body 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8,76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8,79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8,81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8,85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8,88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8,91</w:t>
            </w:r>
          </w:p>
        </w:tc>
      </w:tr>
      <w:tr>
        <w:trPr>
          <w:trHeight w:val="360" w:hRule="auto"/>
        </w:trPr>
        body 9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7,05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7,07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7,09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7,11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7,14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7,16</w:t>
            </w:r>
          </w:p>
        </w:tc>
      </w:tr>
      <w:tr>
        <w:trPr>
          <w:trHeight w:val="360" w:hRule="auto"/>
        </w:trPr>
        body10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Concentrazione media annua di PM10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Microgrammi per m3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</w:t>
            </w:r>
          </w:p>
        </w:tc>
      </w:tr>
      <w:tr>
        <w:trPr>
          <w:trHeight w:val="360" w:hRule="auto"/>
        </w:trPr>
        body11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body12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body13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Concentrazione media annua di PM2.5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Microgrammi per m3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</w:t>
            </w:r>
          </w:p>
        </w:tc>
      </w:tr>
      <w:tr>
        <w:trPr>
          <w:trHeight w:val="360" w:hRule="auto"/>
        </w:trPr>
        body14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body15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81</w:t>
            </w:r>
          </w:p>
        </w:tc>
      </w:tr>
      <w:tr>
        <w:trPr>
          <w:trHeight w:val="360" w:hRule="auto"/>
        </w:trPr>
        body16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Energia elettrica da fonti rinnovabili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12,8%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14,6%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13,2%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16,9%</w:t>
            </w:r>
          </w:p>
        </w:tc>
      </w:tr>
      <w:tr>
        <w:trPr>
          <w:trHeight w:val="360" w:hRule="auto"/>
        </w:trPr>
        body17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21,0%</w:t>
            </w:r>
          </w:p>
        </w:tc>
      </w:tr>
      <w:tr>
        <w:trPr>
          <w:trHeight w:val="360" w:hRule="auto"/>
        </w:trPr>
        body18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34,3%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34,9%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37,4%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35,1%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36,9%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2026-02-18T15:06:39Z</dcterms:modified>
  <cp:category/>
</cp:coreProperties>
</file>