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Musei, gallerie, monumenti e biblioteche al 2024/2025 </w:t>
            </w: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br/>
            </w: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Tipo di istituzione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Numero totale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di istituzioni a gestione pubblica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museo, galleria e/o raccolta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61,0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area /parco archeologico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teatri storici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biblioteche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1.056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Regione Emilia-Romagna, Sistema Bibliotecario Parmense (vari anni)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2026-02-11T15:58:03Z</dcterms:modified>
  <cp:category/>
</cp:coreProperties>
</file>