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body19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Densità e rilevanza del patrimonio museale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 100 km2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2026-01-28T17:44:12Z</dcterms:modified>
  <cp:category/>
</cp:coreProperties>
</file>