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gridSpan w:val="9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  <w:t xml:space="preserve">Qualità dei servizi (confronto territori) </w:t>
            </w:r>
          </w:p>
        </w:tc>
      </w:tr>
      <w:tr>
        <w:trPr>
          <w:trHeight w:val="360" w:hRule="auto"/>
          <w:tblHeader/>
        </w:trPr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indicatore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unità di misura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territorio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2018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2019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2023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Rifiuti urbani prodotti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Kg per abitante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586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596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601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598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600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596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661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664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639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641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633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641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504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503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487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501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492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496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Dispersione da rete idrica comunale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Valori percentuali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39,3%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42,9%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42,1%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31,2%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31,3%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29,7%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42,0%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42,2%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42,4%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Impermeabilizzazione del suolo da copertura artificiale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Valori percentuali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7,49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7,52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7,53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7,53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7,57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7,60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8,76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8,79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8,81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8,85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8,88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8,91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7,05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7,07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7,09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7,11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7,14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7,16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Concentrazione media annua di PM10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Microgrammi per m3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27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70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Concentrazione media annua di PM2.5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Microgrammi per m3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15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81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Energia elettrica da fonti rinnovabili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Valori percentuali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12,6%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12,8%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15,1%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14,6%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13,2%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16,9%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19,7%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20,5%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22,1%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20,5%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19,6%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21,0%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34,3%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34,9%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37,4%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35,1%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30,7%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36,9%</w:t>
            </w:r>
          </w:p>
        </w:tc>
      </w:tr>
      <w:tr>
        <w:trPr>
          <w:trHeight w:val="360" w:hRule="auto"/>
        </w:trPr>
        <w:tc>
          <w:tcPr>
            <w:gridSpan w:val="9"/>
            <w:tcBorders>
              <w:bottom w:val="none" w:sz="0" w:space="0" w:color="FFFFFF"/>
              <w:top w:val="single" w:sz="4" w:space="0" w:color="A6A6A6"/>
              <w:left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</w:pPr>
            <w:r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  <w:t xml:space="preserve">Fonte: Istat, BES (Benessere Equo e Sostenibile), 2025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luisamimmi</cp:lastModifiedBy>
  <cp:revision>9</cp:revision>
  <dcterms:created xsi:type="dcterms:W3CDTF">2017-02-28T11:18:00Z</dcterms:created>
  <dcterms:modified xsi:type="dcterms:W3CDTF">2026-05-14T15:32:43Z</dcterms:modified>
  <cp:category/>
</cp:coreProperties>
</file>