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Copertura della rete fissa di accesso ultra veloce a internet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60,0%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57,6%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59,6%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Comuni con servizi per le famiglie interamente online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Raccolta differenziata dei rifiuti urbani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80,2%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79,7%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77,1%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66,6%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Irregolarità del servizio elettrico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Numero medio per utente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2,5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Posti-km offerti dal Tpl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3793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3818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3128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3956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2789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2764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3763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4731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4694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4623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Disponibilità di verde urbano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M2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87,8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46,8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2026-02-18T14:51:17Z</dcterms:modified>
  <cp:category/>
</cp:coreProperties>
</file>