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 1
        <w:tc>
          <w:tcPr>
            <w:gridSpan w:val="9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Qualità dei servizi (confronto territori) </w:t>
            </w:r>
          </w:p>
        </w:tc>
      </w:tr>
      <w:tr>
        <w:trPr>
          <w:trHeight w:val="360" w:hRule="auto"/>
          <w:tblHeader/>
        </w:trPr>
        header 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indicatore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unità di misura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territorio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2018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2019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2023</w:t>
            </w:r>
          </w:p>
        </w:tc>
      </w:tr>
      <w:tr>
        <w:trPr>
          <w:trHeight w:val="360" w:hRule="auto"/>
        </w:trPr>
        body 1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Rifiuti urbani prodotti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Kg per abitante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586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596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601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598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600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596</w:t>
            </w:r>
          </w:p>
        </w:tc>
      </w:tr>
      <w:tr>
        <w:trPr>
          <w:trHeight w:val="360" w:hRule="auto"/>
        </w:trPr>
        body 2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661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664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639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641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633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641</w:t>
            </w:r>
          </w:p>
        </w:tc>
      </w:tr>
      <w:tr>
        <w:trPr>
          <w:trHeight w:val="360" w:hRule="auto"/>
        </w:trPr>
        body 3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504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503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487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501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492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496</w:t>
            </w:r>
          </w:p>
        </w:tc>
      </w:tr>
      <w:tr>
        <w:trPr>
          <w:trHeight w:val="360" w:hRule="auto"/>
        </w:trPr>
        body 4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Dispersione da rete idrica comunale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 percentuali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39,3%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42,9%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5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31,2%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31,3%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29,7%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6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42,0%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42,4%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7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Impermeabilizzazione del suolo da copertura artificiale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 percentuali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7,49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7,52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7,53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7,53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7,57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7,60</w:t>
            </w:r>
          </w:p>
        </w:tc>
      </w:tr>
      <w:tr>
        <w:trPr>
          <w:trHeight w:val="360" w:hRule="auto"/>
        </w:trPr>
        body 8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8,76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8,79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8,81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8,85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8,88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8,91</w:t>
            </w:r>
          </w:p>
        </w:tc>
      </w:tr>
      <w:tr>
        <w:trPr>
          <w:trHeight w:val="360" w:hRule="auto"/>
        </w:trPr>
        body 9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7,05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7,07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7,09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7,11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7,14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7,16</w:t>
            </w:r>
          </w:p>
        </w:tc>
      </w:tr>
      <w:tr>
        <w:trPr>
          <w:trHeight w:val="360" w:hRule="auto"/>
        </w:trPr>
        body10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Energia elettrica da fonti rinnovabili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 percentuali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12,6%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12,8%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15,1%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14,6%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13,2%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16,9%</w:t>
            </w:r>
          </w:p>
        </w:tc>
      </w:tr>
      <w:tr>
        <w:trPr>
          <w:trHeight w:val="360" w:hRule="auto"/>
        </w:trPr>
        body11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19,7%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20,5%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20,5%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19,6%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21,0%</w:t>
            </w:r>
          </w:p>
        </w:tc>
      </w:tr>
      <w:tr>
        <w:trPr>
          <w:trHeight w:val="360" w:hRule="auto"/>
        </w:trPr>
        body12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34,3%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34,9%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37,4%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35,1%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30,7%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36,9%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Istat, BES (Benessere Equo e Sostenibile), 2025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luisamimmi</cp:lastModifiedBy>
  <cp:revision>9</cp:revision>
  <dcterms:created xsi:type="dcterms:W3CDTF">2017-02-28T11:18:00Z</dcterms:created>
  <dcterms:modified xsi:type="dcterms:W3CDTF">2026-04-19T16:53:34Z</dcterms:modified>
  <cp:category/>
</cp:coreProperties>
</file>