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Copertura della rete fissa di accesso ultra veloce a internet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60,0%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57,6%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59,6%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Comuni con servizi per le famiglie interamente online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Raccolta differenziata dei rifiuti urbani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79,7%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77,1%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66,6%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Irregolarità del servizio elettrico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Numero medio per utente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2,5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Posti-km offerti dal Tpl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3128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3956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2789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2764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3763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4694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4623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Disponibilità di verde urbano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M2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87,8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46,8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2026-04-19T16:53:33Z</dcterms:modified>
  <cp:category/>
</cp:coreProperties>
</file>