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Copertura della rete fissa di accesso ultra veloce a internet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60,0%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57,6%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59,6%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Comuni con servizi per le famiglie interamente online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53,6%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Raccolta differenziata dei rifiuti urbani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80,2%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79,7%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67,3%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77,1%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66,6%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Irregolarità del servizio elettrico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Numero medio per utente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Posti-km offerti dal Tpl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3128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3956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2789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2764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4626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3763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4694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4623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Disponibilità di verde urbano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M2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87,8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46,8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33,3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2026-02-20T13:02:06Z</dcterms:modified>
  <cp:category/>
</cp:coreProperties>
</file>