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Musei, gallerie, monumenti e biblioteche al 2024/2025 </w:t>
            </w: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br/>
            </w: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Tipo di istituzione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Numero totale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di istituzioni a gestione pubblica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museo, galleria e/o raccolta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61,0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 /parco archeologico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teatri storici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biblioteche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1.056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Regione Emilia-Romagna, Sistema Bibliotecario Parmense (vari anni)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2026-02-13T15:37:04Z</dcterms:modified>
  <cp:category/>
</cp:coreProperties>
</file>