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96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Popolazione residente e straniera a Parma ed Emilia-Romagna (2025)</w:t>
            </w:r>
          </w:p>
        </w:tc>
      </w:tr>
      <w:tr>
        <w:trPr>
          <w:cantSplit/>
          <w:trHeight w:val="354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Popolazione residente (2025)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Popolazione straniera residente (2025)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% popolazione straniera sul totale (2025)</w:t>
            </w:r>
          </w:p>
        </w:tc>
      </w:tr>
      <w:tr>
        <w:trPr>
          <w:cantSplit/>
          <w:trHeight w:val="314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460.351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67.439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14,65 %</w:t>
            </w:r>
          </w:p>
        </w:tc>
      </w:tr>
      <w:tr>
        <w:trPr>
          <w:cantSplit/>
          <w:trHeight w:val="337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4.482.977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564.745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12,60 %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  <w:t xml:space="preserve">Fonte: Regione Emilia-Romagna - Statistica e Istat - Demografia in cifre, 2025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2026-02-20T13:01:58Z</dcterms:modified>
  <cp:category/>
</cp:coreProperties>
</file>