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41.png" ContentType="image/png"/>
  <Override PartName="/word/media/rId112.png" ContentType="image/png"/>
  <Override PartName="/word/media/rId107.png" ContentType="image/png"/>
  <Override PartName="/word/media/rId104.png" ContentType="image/png"/>
  <Override PartName="/word/media/rId119.png" ContentType="image/png"/>
  <Override PartName="/word/media/rId75.png" ContentType="image/png"/>
  <Override PartName="/word/media/rId116.png" ContentType="image/png"/>
  <Override PartName="/word/media/rId97.png" ContentType="image/png"/>
  <Override PartName="/word/media/rId94.png" ContentType="image/png"/>
  <Override PartName="/word/media/rId88.png" ContentType="image/png"/>
  <Override PartName="/word/media/rId67.png" ContentType="image/png"/>
  <Override PartName="/word/media/rId139.png" ContentType="image/png"/>
  <Override PartName="/word/media/rId51.png" ContentType="image/png"/>
  <Override PartName="/word/media/rId135.png" ContentType="image/png"/>
  <Override PartName="/word/media/rId59.png" ContentType="image/png"/>
  <Override PartName="/word/media/rId63.png" ContentType="image/png"/>
  <Override PartName="/word/media/rId5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6.png" ContentType="image/png"/>
  <Override PartName="/word/media/rId7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Bilancio di Missione 2025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19-February-2026</w:t>
      </w:r>
    </w:p>
    <w:bookmarkStart w:id="20" w:name="importazione-dati-principali"/>
    <w:p>
      <w:pPr>
        <w:pStyle w:val="Heading1"/>
      </w:pPr>
      <w:r>
        <w:t xml:space="preserve">Importazione dati principali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Shapefile x mappe</w:t>
      </w:r>
      <w:r>
        <w:br/>
      </w:r>
      <w:r>
        <w:t xml:space="preserve">(Istat 2025b)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Dati popolazione residente 2025</w:t>
      </w:r>
      <w:r>
        <w:br/>
      </w:r>
      <w:r>
        <w:t xml:space="preserve">I dati sulla popolazione residente vengono da 2 fonti: Istat [</w:t>
      </w:r>
      <w:r>
        <w:t xml:space="preserve">(Istat 2025a)</w:t>
      </w:r>
      <w:r>
        <w:t xml:space="preserve">] e RE-R Statistica</w:t>
      </w:r>
      <w:r>
        <w:t xml:space="preserve"> </w:t>
      </w:r>
      <w:r>
        <w:t xml:space="preserve">(RE-R Statistica 2024)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Dati TREND demografici ISTAT 2002-2024</w:t>
      </w:r>
      <w:r>
        <w:br/>
      </w:r>
      <w:r>
        <w:t xml:space="preserve">(Istat 2025a)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Dati fragilità demografica RE-R Statistica</w:t>
      </w:r>
      <w:r>
        <w:br/>
      </w:r>
      <w:r>
        <w:t xml:space="preserve">(RE-R Statistica 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Dati ISTAT BES (Benessere Equo e Sostenibile)</w:t>
      </w:r>
      <w:r>
        <w:br/>
      </w:r>
      <w:r>
        <w:t xml:space="preserve">(Istat 2025c)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Dati Ehis Anziani non autosufficienti</w:t>
      </w:r>
      <w:r>
        <w:br/>
      </w:r>
      <w:r>
        <w:t xml:space="preserve">(</w:t>
      </w:r>
      <w:r>
        <w:rPr>
          <w:b/>
          <w:bCs/>
        </w:rPr>
        <w:t xml:space="preserve">istatEhisAnzianiNonAutosufficienti2025a?</w:t>
      </w:r>
      <w:r>
        <w:t xml:space="preserve">)</w:t>
      </w:r>
    </w:p>
    <w:bookmarkEnd w:id="20"/>
    <w:bookmarkStart w:id="83" w:name="priorità-ridurre-le-disuguaglianze"/>
    <w:p>
      <w:pPr>
        <w:pStyle w:val="Heading1"/>
      </w:pPr>
      <w:r>
        <w:t xml:space="preserve">1° PRIORITÀ: Ridurre le disuguaglianze</w:t>
      </w:r>
    </w:p>
    <w:p>
      <w:pPr>
        <w:pStyle w:val="BlockText"/>
      </w:pPr>
      <w:r>
        <w:t xml:space="preserve">“La Fondazione si pone l’obiettivo strategico di affrontare dinamiche che influenzano le disparità e le distanze tra persone.”</w:t>
      </w:r>
      <w:r>
        <w:t xml:space="preserve"> </w:t>
      </w:r>
      <w:r>
        <w:t xml:space="preserve">[DPP 2025]”</w:t>
      </w:r>
    </w:p>
    <w:p>
      <w:pPr>
        <w:pStyle w:val="FirstParagraph"/>
      </w:pPr>
      <w:r>
        <w:t xml:space="preserve">Quali sono le</w:t>
      </w:r>
      <w:r>
        <w:t xml:space="preserve"> </w:t>
      </w:r>
      <w:r>
        <w:rPr>
          <w:b/>
          <w:bCs/>
        </w:rPr>
        <w:t xml:space="preserve">dinamiche demografiche in atto</w:t>
      </w:r>
      <w:r>
        <w:t xml:space="preserve"> </w:t>
      </w:r>
      <w:r>
        <w:t xml:space="preserve">che influenzano le disuguaglianze e le distanze tra persone?</w:t>
      </w:r>
    </w:p>
    <w:bookmarkStart w:id="26" w:name="popolazione-residente"/>
    <w:p>
      <w:pPr>
        <w:pStyle w:val="Heading2"/>
      </w:pPr>
      <w:r>
        <w:t xml:space="preserve">Popolazione residente</w:t>
      </w:r>
    </w:p>
    <w:p>
      <w:pPr>
        <w:pStyle w:val="FirstParagraph"/>
      </w:pPr>
      <w:r>
        <w:t xml:space="preserve">La popolazione residente nella provincia di Parma nel 2025 (ultimo aggiornamento: 03/06/2025) è di 460.351 abitanti. Il territorio accoglie una percentuale di residenti stranieri più alta della media regionale, al cui interno, la distribuzione per età mostra una concentrazione in fasce più giovani.</w:t>
      </w:r>
    </w:p>
    <w:bookmarkStart w:id="21" w:name="tbl-popolazione-residente-con-straniera"/>
    <w:p>
      <w:pPr>
        <w:pStyle w:val="Heading3"/>
      </w:pPr>
      <w:r>
        <w:t xml:space="preserve">[Tbl] Popolazione residente (con % straniera)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Popolazione residente e straniera a Parma ed Emilia-Romagna (2025)</w:t>
            </w:r>
          </w:p>
        </w:tc>
      </w:tr>
      <w:tr>
        <w:trPr>
          <w:cantSplit/>
          <w:trHeight w:val="349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straniera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popolazione straniera sul totale (2025)</w:t>
            </w:r>
          </w:p>
        </w:tc>
      </w:tr>
      <w:tr>
        <w:trPr>
          <w:cantSplit/>
          <w:trHeight w:val="314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460.351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67.439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14,65 %</w:t>
            </w:r>
          </w:p>
        </w:tc>
      </w:tr>
      <w:tr>
        <w:trPr>
          <w:cantSplit/>
          <w:trHeight w:val="337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4.482.977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564.745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12,60 %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Regione Emilia-Romagna - Statistica e Istat - Demografia in cifre, 2025</w:t>
            </w:r>
          </w:p>
        </w:tc>
      </w:tr>
    </w:tbl>
    <w:bookmarkEnd w:id="21"/>
    <w:bookmarkStart w:id="25" w:name="piramide-detà"/>
    <w:p>
      <w:pPr>
        <w:pStyle w:val="Heading3"/>
      </w:pPr>
      <w:r>
        <w:t xml:space="preserve">Piramide d’età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bilancio_2025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45" w:name="popolazione-per-4-distretti"/>
    <w:p>
      <w:pPr>
        <w:pStyle w:val="Heading2"/>
      </w:pPr>
      <w:r>
        <w:t xml:space="preserve">Popolazione per 4 distretti</w:t>
      </w:r>
    </w:p>
    <w:p>
      <w:pPr>
        <w:pStyle w:val="FirstParagraph"/>
      </w:pPr>
      <w:r>
        <w:t xml:space="preserve">La popolazione residente nella provincia di Parma è suddivisa in 4 distretti sanitari, e si concentra principalmente nel distretto di Parma città, che include il capoluogo e i comuni limitrofi.</w:t>
      </w:r>
    </w:p>
    <w:bookmarkStart w:id="27" w:name="X43bd05d136dd1b2f0a6dd3f89194dd52eb8166f"/>
    <w:p>
      <w:pPr>
        <w:pStyle w:val="Heading3"/>
      </w:pPr>
      <w:r>
        <w:t xml:space="preserve">[Tbl] Popolazione residente per distretti di Parma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3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Popolazione residente per distretto sanitario (2025)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Provincia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Distretto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residente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Valli Taro e Ceno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43.477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Fidenza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105.958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Sud Est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78.836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Parma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232.080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Regione Emilia-Romagna - Statistica, 2025</w:t>
            </w:r>
          </w:p>
        </w:tc>
      </w:tr>
    </w:tbl>
    <w:bookmarkEnd w:id="27"/>
    <w:bookmarkStart w:id="32" w:name="X04da275b6f039b96a89dfa03100febc0bf19ec4"/>
    <w:p>
      <w:pPr>
        <w:pStyle w:val="Heading3"/>
      </w:pPr>
      <w:r>
        <w:t xml:space="preserve">Mappa popolazione residente per distretto</w:t>
      </w:r>
    </w:p>
    <w:p>
      <w:pPr>
        <w:pStyle w:val="FirstParagraph"/>
      </w:pPr>
      <w:r>
        <w:t xml:space="preserve">I distretti</w:t>
      </w:r>
      <w:r>
        <w:t xml:space="preserve"> </w:t>
      </w:r>
      <w:r>
        <w:rPr>
          <w:i/>
          <w:iCs/>
        </w:rPr>
        <w:t xml:space="preserve">Sud Est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Valli Taro e Ceno</w:t>
      </w:r>
      <w:r>
        <w:t xml:space="preserve"> </w:t>
      </w:r>
      <w:r>
        <w:t xml:space="preserve">sono i meno popolati e presentano il potenziale maggiore di fragilità sociale, oltre che demografica (percentuale di residenti anziani e soli, difficoltà di radicamento della popolazione straniera, opportunità di istruzione) – Cfr.</w:t>
      </w:r>
      <w:r>
        <w:t xml:space="preserve"> </w:t>
      </w:r>
      <w:r>
        <w:rPr>
          <w:b/>
          <w:bCs/>
        </w:rPr>
        <w:t xml:space="preserve">RE-R Statistica</w:t>
      </w:r>
      <w:r>
        <w:t xml:space="preserve">, 2025,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“La potenziale fragilità demografica, sociale ed economica nei comuni della regione Emilia Romagna. Anno 2023”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ilancio_2025_files/figure-docx/map_distretti_parma_pop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Xb28ea0f03ccad71b44e76470fd4f85c76932594"/>
    <w:p>
      <w:pPr>
        <w:pStyle w:val="Heading3"/>
      </w:pPr>
      <w:r>
        <w:t xml:space="preserve">Mappa popolazione per distetto e fasce d’età (%)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bilancio_2025_files/figure-docx/map_distretti_parma_pop_anz_gio_per_patch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mappa-over-65-soli-per-comune"/>
    <w:p>
      <w:pPr>
        <w:pStyle w:val="Heading3"/>
      </w:pPr>
      <w:r>
        <w:t xml:space="preserve">Mappa over 65 soli per comune</w:t>
      </w:r>
    </w:p>
    <w:p>
      <w:pPr>
        <w:pStyle w:val="FirstParagraph"/>
      </w:pPr>
      <w:r>
        <w:t xml:space="preserve">Uno degli indicatori</w:t>
      </w:r>
      <w:r>
        <w:t xml:space="preserve"> </w:t>
      </w:r>
      <w:r>
        <w:t xml:space="preserve">“spia”</w:t>
      </w:r>
      <w:r>
        <w:t xml:space="preserve"> </w:t>
      </w:r>
      <w:r>
        <w:t xml:space="preserve">di potenziale fragilità sociale è la</w:t>
      </w:r>
      <w:r>
        <w:t xml:space="preserve"> </w:t>
      </w:r>
      <w:r>
        <w:rPr>
          <w:rStyle w:val="VerbatimChar"/>
        </w:rPr>
        <w:t xml:space="preserve">percentuale di popolazione residente di 65+ anni in familglie unipersonali</w:t>
      </w:r>
      <w:r>
        <w:t xml:space="preserve"> </w:t>
      </w:r>
      <w:r>
        <w:t xml:space="preserve">(</w:t>
      </w:r>
      <w:r>
        <w:rPr>
          <w:b/>
          <w:bCs/>
        </w:rPr>
        <w:t xml:space="preserve">RE-R Statistica, 2025</w:t>
      </w:r>
      <w:r>
        <w:t xml:space="preserve">, con dati al 31.12.2023).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bilancio_2025_files/figure-docx/over65_unip_map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persone-over-65-non-autosufficienti"/>
    <w:p>
      <w:pPr>
        <w:pStyle w:val="Heading3"/>
      </w:pPr>
      <w:r>
        <w:t xml:space="preserve">Persone over 65 non autosufficienti</w:t>
      </w:r>
    </w:p>
    <w:p>
      <w:pPr>
        <w:pStyle w:val="FirstParagraph"/>
      </w:pPr>
      <w:r>
        <w:t xml:space="preserve">Secondo l’indagine europea sulla salute (</w:t>
      </w:r>
      <w:r>
        <w:rPr>
          <w:i/>
          <w:iCs/>
        </w:rPr>
        <w:t xml:space="preserve">EHIS</w:t>
      </w:r>
      <w:r>
        <w:t xml:space="preserve">), attualmente in corso di aggiornamento, na quota significativa di popolazione anziana (65+) presenta difficoltà nelle attività di cura della persona (</w:t>
      </w:r>
      <w:r>
        <w:t xml:space="preserve"> </w:t>
      </w:r>
      <w:r>
        <w:rPr>
          <w:i/>
          <w:iCs/>
        </w:rPr>
        <w:t xml:space="preserve">ADL, Activities of Daily Living</w:t>
      </w:r>
      <w:r>
        <w:t xml:space="preserve"> </w:t>
      </w:r>
      <w:r>
        <w:t xml:space="preserve">), sia essa moderata o grave.</w:t>
      </w:r>
    </w:p>
    <w:p>
      <w:pPr>
        <w:pStyle w:val="BodyText"/>
      </w:pPr>
      <w:r>
        <w:t xml:space="preserve">Nel 2023, gli anziani non autosufficienti con gravi limitazioni erano 358.594 in Emilia-Romagna e 4.027.488 in Italia (per la prima volta sopra 4 milioni). Purtroppo a fronte di tassi di copertura del bisogno di servizi socio-sanitari altamente insufficienti e variabili a livello regionale, al netto delle diverse allocazioni/modalità di erogazione delle risorse</w:t>
      </w:r>
      <w:r>
        <w:t xml:space="preserve"> </w:t>
      </w:r>
      <w:r>
        <w:t xml:space="preserve">(Fosti, Notarnicola, and Perobelli 2025)</w:t>
      </w:r>
      <w:r>
        <w:t xml:space="preserve">.</w:t>
      </w:r>
      <w:r>
        <w:t xml:space="preserve"> 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ilancio_2025_files/figure-docx/adl_reg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82" w:name="trend-demografici-a-confronto"/>
    <w:p>
      <w:pPr>
        <w:pStyle w:val="Heading2"/>
      </w:pPr>
      <w:r>
        <w:t xml:space="preserve">Trend demografici a confronto</w:t>
      </w:r>
    </w:p>
    <w:p>
      <w:pPr>
        <w:pStyle w:val="FirstParagraph"/>
      </w:pPr>
      <w:r>
        <w:t xml:space="preserve">In generale, l’analisi degli indicatori demografici 2002-2025 evidenzia come il profilo demografico di Parma si distingue dalla media regionale che nazionale, specialmente per un trend di invecchiamento più contenuto e una dinamica migratoria più vivace – che contribuisce a bilanciare il deficit di natalità generalizzato.</w:t>
      </w:r>
    </w:p>
    <w:bookmarkStart w:id="50" w:name="popolazione-residente-1"/>
    <w:p>
      <w:pPr>
        <w:pStyle w:val="Heading3"/>
      </w:pPr>
      <w:r>
        <w:t xml:space="preserve">Popolazione Residente</w:t>
      </w:r>
    </w:p>
    <w:bookmarkStart w:id="49" w:name="confronto-trend-flussi-migratori"/>
    <w:p>
      <w:pPr>
        <w:pStyle w:val="Heading4"/>
      </w:pPr>
      <w:r>
        <w:t xml:space="preserve">…confronto trend flussi migratori</w:t>
      </w:r>
    </w:p>
    <w:p>
      <w:pPr>
        <w:pStyle w:val="FirstParagraph"/>
      </w:pPr>
      <w:r>
        <w:t xml:space="preserve">POCO LEGGIBILE E SCALE TROPPO DIVERSE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bilancio_2025_files/figure-docx/pop_res_migr_trend_plot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bookmarkStart w:id="54" w:name="età-media"/>
    <w:p>
      <w:pPr>
        <w:pStyle w:val="Heading3"/>
      </w:pPr>
      <w:r>
        <w:t xml:space="preserve">Età media</w:t>
      </w:r>
    </w:p>
    <w:p>
      <w:pPr>
        <w:pStyle w:val="FirstParagraph"/>
      </w:pPr>
      <w:r>
        <w:t xml:space="preserve">Aumento della popolazione anziana e longevità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bilancio_2025_files/figure-docx/e_m_plo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indice-di-vecchiaia"/>
    <w:p>
      <w:pPr>
        <w:pStyle w:val="Heading3"/>
      </w:pPr>
      <w:r>
        <w:t xml:space="preserve">Indice di vecchiaia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bilancio_2025_files/figure-docx/i_v_plot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indice-di-dipendenza-anziani"/>
    <w:p>
      <w:pPr>
        <w:pStyle w:val="Heading3"/>
      </w:pPr>
      <w:r>
        <w:t xml:space="preserve">Indice di dipendenza anziani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ilancio_2025_files/figure-docx/i_d_a_plot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indice-di-dipendenza-strutturale"/>
    <w:p>
      <w:pPr>
        <w:pStyle w:val="Heading3"/>
      </w:pPr>
      <w:r>
        <w:t xml:space="preserve">Indice di dipendenza strutturale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bilancio_2025_files/figure-docx/i_d_s_plot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crescita-naturale-della-popolazione"/>
    <w:p>
      <w:pPr>
        <w:pStyle w:val="Heading3"/>
      </w:pPr>
      <w:r>
        <w:t xml:space="preserve">Crescita naturale della popolazione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bilancio_2025_files/figure-docx/c_n_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saldo-migratorio"/>
    <w:p>
      <w:pPr>
        <w:pStyle w:val="Heading3"/>
      </w:pPr>
      <w:r>
        <w:t xml:space="preserve">Saldo migratorio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bilancio_2025_files/figure-docx/s_m_plot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81" w:name="mobilità-dei-laureati"/>
    <w:p>
      <w:pPr>
        <w:pStyle w:val="Heading3"/>
      </w:pPr>
      <w:r>
        <w:t xml:space="preserve">Mobilità dei laureati</w:t>
      </w:r>
    </w:p>
    <w:p>
      <w:pPr>
        <w:pStyle w:val="FirstParagraph"/>
      </w:pPr>
      <w:r>
        <w:t xml:space="preserve">Parma ed Emilia-Romagna registrano saldi migratori positivi dei laureati (attrazione netta), mentre l’Italia nel complesso perde laureati verso l’estero, con tassi negativi stabilmente tra -2 e -8 per mille nel periodo 2019-2023.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bilancio_2025_files/figure-docx/bes_mob_lau_plot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Mobilità dei laureati italiani (25-39 anni)</w:t>
            </w:r>
            <w:r>
              <w:t xml:space="preserve"> </w:t>
            </w:r>
            <w:r>
              <w:t xml:space="preserve">= Tasso di migratorietà specifico dei laureati italiani di 25-39 anni (differenza tra iscritti e cancellati per trasferimento di residenza/popolazione residente *1000). Sia il numeratore che il denominatore si riferiscono ai cittadini italiani di 25-39 anni con titolo di studio terziario (laurea, AFAM, dottorato). I valori per l’Italia comprendono solo i movimenti da/per l’estero, poiché il saldo migratorio interno a livello nazionale è pari a zero; la disaggregazione territoriale comprende anche i movimenti interni.</w:t>
            </w:r>
          </w:p>
        </w:tc>
      </w:tr>
    </w:tbl>
    <w:p>
      <w:r>
        <w:br w:type="page"/>
      </w:r>
    </w:p>
    <w:bookmarkEnd w:id="81"/>
    <w:bookmarkEnd w:id="82"/>
    <w:bookmarkEnd w:id="83"/>
    <w:bookmarkStart w:id="84" w:name="section"/>
    <w:p>
      <w:pPr>
        <w:pStyle w:val="Heading1"/>
      </w:pPr>
      <w:r>
        <w:t xml:space="preserve">____</w:t>
      </w:r>
    </w:p>
    <w:bookmarkEnd w:id="84"/>
    <w:bookmarkStart w:id="124" w:name="X9c6152cf08ae4e10f8c1d05efafc6af7458f9d7"/>
    <w:p>
      <w:pPr>
        <w:pStyle w:val="Heading1"/>
      </w:pPr>
      <w:r>
        <w:t xml:space="preserve">2° PRIORITÀ: Rafforzare istituzioni e persone</w:t>
      </w:r>
    </w:p>
    <w:p>
      <w:pPr>
        <w:pStyle w:val="BlockText"/>
      </w:pPr>
      <w:r>
        <w:t xml:space="preserve">“La Fondazione si pone l’obiettivo strategico di lavorare per il rafforzamento di entrambe i livelli, persone e istituzioni”</w:t>
      </w:r>
      <w:r>
        <w:t xml:space="preserve">come crescita, formazione innovazione, e come messa in rete del proprio contributo. [DPP 2025]”</w:t>
      </w:r>
    </w:p>
    <w:bookmarkStart w:id="123" w:name="benessere-economico-delle-famiglie"/>
    <w:p>
      <w:pPr>
        <w:pStyle w:val="Heading2"/>
      </w:pPr>
      <w:r>
        <w:t xml:space="preserve">Benessere economico delle famiglie</w:t>
      </w:r>
    </w:p>
    <w:p>
      <w:pPr>
        <w:pStyle w:val="FirstParagraph"/>
      </w:pPr>
      <w:r>
        <w:t xml:space="preserve">Da diversi anni, Istat ha sviluppato un approccio multidimensionale per misurare il</w:t>
      </w:r>
      <w:r>
        <w:t xml:space="preserve"> </w:t>
      </w:r>
      <w:r>
        <w:rPr>
          <w:b/>
          <w:bCs/>
        </w:rPr>
        <w:t xml:space="preserve">“Benessere equo e sostenibile”</w:t>
      </w:r>
      <w:r>
        <w:rPr>
          <w:b/>
          <w:bCs/>
        </w:rPr>
        <w:t xml:space="preserve"> </w:t>
      </w:r>
      <w:r>
        <w:rPr>
          <w:b/>
          <w:bCs/>
        </w:rPr>
        <w:t xml:space="preserve">(Bes)</w:t>
      </w:r>
      <w:r>
        <w:t xml:space="preserve">, che consente di tracciare alcune fondamentali dimensioni del benessere, ma anche potenziali fonti di disuguaglianza, osservate per diverse aggregazioni territoriali. [</w:t>
      </w:r>
      <w:r>
        <w:t xml:space="preserve">(Istat 2025c)</w:t>
      </w:r>
      <w:r>
        <w:t xml:space="preserve">]</w:t>
      </w:r>
    </w:p>
    <w:bookmarkStart w:id="91" w:name="reddito-medio-da-lavoro-e-pensione"/>
    <w:p>
      <w:pPr>
        <w:pStyle w:val="Heading3"/>
      </w:pPr>
      <w:r>
        <w:t xml:space="preserve">Reddito medio (da lavoro e pensione)</w:t>
      </w:r>
    </w:p>
    <w:p>
      <w:pPr>
        <w:pStyle w:val="FirstParagraph"/>
      </w:pPr>
      <w:r>
        <w:t xml:space="preserve">Dal punto di vista del</w:t>
      </w:r>
      <w:r>
        <w:t xml:space="preserve"> </w:t>
      </w:r>
      <w:r>
        <w:rPr>
          <w:rStyle w:val="VerbatimChar"/>
        </w:rPr>
        <w:t xml:space="preserve">reddito medio disponibile pro capite</w:t>
      </w:r>
      <w:r>
        <w:t xml:space="preserve"> </w:t>
      </w:r>
      <w:r>
        <w:t xml:space="preserve">(calcolato al netto di imposte e contributi), negli anni recenti Parma si è confermata al di sopra della media regionale e nazionale.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Il</w:t>
            </w:r>
            <w:r>
              <w:t xml:space="preserve"> </w:t>
            </w:r>
            <w:r>
              <w:rPr>
                <w:b/>
                <w:bCs/>
              </w:rPr>
              <w:t xml:space="preserve">Reddito medio disponibile pro capite (€)</w:t>
            </w:r>
            <w:r>
              <w:t xml:space="preserve"> </w:t>
            </w:r>
            <w:r>
              <w:t xml:space="preserve">è un</w:t>
            </w:r>
            <w:r>
              <w:t xml:space="preserve"> </w:t>
            </w:r>
            <w:r>
              <w:rPr>
                <w:i/>
                <w:iCs/>
              </w:rPr>
              <w:t xml:space="preserve">aggregato di contabilità nazionale</w:t>
            </w:r>
            <w:r>
              <w:t xml:space="preserve"> </w:t>
            </w:r>
            <w:r>
              <w:t xml:space="preserve">che rappresenta il reddito medio annuo di cui una persona può disporre, al netto di imposte e contributi, tenendo conto anche di pensioni e trasferimenti pubblici.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NB: anche se viene chiamato</w:t>
            </w:r>
            <w:r>
              <w:t xml:space="preserve"> </w:t>
            </w:r>
            <w:r>
              <w:t xml:space="preserve">“reddito disponibile</w:t>
            </w:r>
            <w:r>
              <w:t xml:space="preserve"> </w:t>
            </w:r>
            <w:r>
              <w:rPr>
                <w:i/>
                <w:iCs/>
              </w:rPr>
              <w:t xml:space="preserve">lordo</w:t>
            </w:r>
            <w:r>
              <w:t xml:space="preserve"> </w:t>
            </w:r>
            <w:r>
              <w:t xml:space="preserve">pro capite”</w:t>
            </w:r>
            <w:r>
              <w:t xml:space="preserve"> </w:t>
            </w:r>
            <w:r>
              <w:t xml:space="preserve">nei documenti Istat, in realta’ è già al netto delle imposte e dei contributi sociali obbligatori, quindi non è lordo in senso fiscale comune, ma nel senso della contabilita’ nazionale.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In termini comparativi internazionali, il reddito disponibile pro capite è espresso in unità di potere d’acquisto (Purchasing Power Standard - PPS), che consente di eliminare le differenze di prezzo tra i paesi e di confrontare il potere d’acquisto effettivo dei redditi delle famiglie (+/- comparabile con</w:t>
            </w:r>
            <w:r>
              <w:t xml:space="preserve"> </w:t>
            </w:r>
            <w:r>
              <w:rPr>
                <w:b/>
                <w:bCs/>
              </w:rPr>
              <w:t xml:space="preserve">Adjusted gross disposable income of households per capita in PPS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Eurostat</w:t>
              </w:r>
            </w:hyperlink>
            <w:r>
              <w:t xml:space="preserve">).</w:t>
            </w:r>
          </w:p>
        </w:tc>
      </w:tr>
    </w:tbl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bilancio_2025_files/figure-docx/bes_reddito_barplot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3" w:name="tbl-reddito-medio-disponibile-pro-capite"/>
    <w:p>
      <w:pPr>
        <w:pStyle w:val="Heading3"/>
      </w:pPr>
      <w:r>
        <w:t xml:space="preserve">[Tbl] Reddito medio disponibile pro capite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5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Indicatori economici per territorio (€), 2021-2023</w:t>
            </w:r>
          </w:p>
        </w:tc>
      </w:tr>
      <w:tr>
        <w:trPr>
          <w:cantSplit/>
          <w:trHeight w:val="289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cantSplit/>
          <w:trHeight w:val="337" w:hRule="auto"/>
        </w:trPr>
        body1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Reddito medio disponibile pro capite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23.432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24.898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26.073</w:t>
            </w:r>
          </w:p>
        </w:tc>
      </w:tr>
      <w:tr>
        <w:trPr>
          <w:cantSplit/>
          <w:trHeight w:val="335" w:hRule="auto"/>
        </w:trPr>
        body2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24.380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27.083</w:t>
            </w:r>
          </w:p>
        </w:tc>
      </w:tr>
      <w:tr>
        <w:trPr>
          <w:cantSplit/>
          <w:trHeight w:val="335" w:hRule="auto"/>
        </w:trPr>
        body3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20.032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21.297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22.359</w:t>
            </w:r>
          </w:p>
        </w:tc>
      </w:tr>
      <w:tr>
        <w:trPr>
          <w:cantSplit/>
          <w:trHeight w:val="337" w:hRule="auto"/>
        </w:trPr>
        body4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23.835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24.604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25.486</w:t>
            </w:r>
          </w:p>
        </w:tc>
      </w:tr>
      <w:tr>
        <w:trPr>
          <w:cantSplit/>
          <w:trHeight w:val="335" w:hRule="auto"/>
        </w:trPr>
        body5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25.939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26.884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27.869</w:t>
            </w:r>
          </w:p>
        </w:tc>
      </w:tr>
      <w:tr>
        <w:trPr>
          <w:cantSplit/>
          <w:trHeight w:val="335" w:hRule="auto"/>
        </w:trPr>
        body6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21.897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22.827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23.630</w:t>
            </w:r>
          </w:p>
        </w:tc>
      </w:tr>
      <w:tr>
        <w:trPr>
          <w:cantSplit/>
          <w:trHeight w:val="337" w:hRule="auto"/>
        </w:trPr>
        body7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Importo medio annuo pro-capite dei redditi pensionistici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21.054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21.692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23.306</w:t>
            </w:r>
          </w:p>
        </w:tc>
      </w:tr>
      <w:tr>
        <w:trPr>
          <w:cantSplit/>
          <w:trHeight w:val="335" w:hRule="auto"/>
        </w:trPr>
        body8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22.474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24.165</w:t>
            </w:r>
          </w:p>
        </w:tc>
      </w:tr>
      <w:tr>
        <w:trPr>
          <w:cantSplit/>
          <w:trHeight w:val="335" w:hRule="auto"/>
        </w:trPr>
        body9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19.782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20.312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21.737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Start w:id="92" w:name="maschi-e-femmine"/>
    <w:p>
      <w:pPr>
        <w:pStyle w:val="Heading4"/>
      </w:pPr>
      <w:r>
        <w:t xml:space="preserve">Maschi e Femmine</w:t>
      </w:r>
    </w:p>
    <w:p>
      <w:pPr>
        <w:pStyle w:val="FirstParagraph"/>
      </w:pPr>
      <w:r>
        <w:t xml:space="preserve">Occorre però rilevare che, anche a Parma, come in Italia, permane un divario retributivo di genere significativo (questo è un dato complessivo, che andrebbe chiaramente approfondito).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Retribuzione media per sesso (€), 2023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Sesso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22.045,4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32.398,9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19.076,0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27.032,5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End w:id="92"/>
    <w:bookmarkEnd w:id="93"/>
    <w:bookmarkStart w:id="101" w:name="occupazione"/>
    <w:p>
      <w:pPr>
        <w:pStyle w:val="Heading3"/>
      </w:pPr>
      <w:r>
        <w:t xml:space="preserve">Occupazione</w:t>
      </w:r>
    </w:p>
    <w:p>
      <w:pPr>
        <w:pStyle w:val="FirstParagraph"/>
      </w:pPr>
      <w:r>
        <w:t xml:space="preserve">Il tasso di occupazione a Parma (20-64 anni) si mantiene stabilmente intorno il 75% dal 2018, superando sia la media regionale che nazionale. Il tasso giovanile (15-29 anni) mostra un trend lievemente migliorativo ma resta inferiore al 45%.</w:t>
      </w:r>
    </w:p>
    <w:p>
      <w:pPr>
        <w:pStyle w:val="BodyText"/>
      </w:pPr>
      <w:r>
        <w:t xml:space="preserve">Anche a Parma, che supera sistematicamente l’Italia nei tassi di occupazione, si riscontra un divario marcato tra i sessi (circa 20 punti percentuali per adulti, 18 per giovani, nel 2024) che rispecchia la situazione nazionale.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bilancio_2025_files/figure-docx/bes_occup_plot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0" w:name="maschi-e-femmine-2024"/>
    <w:p>
      <w:pPr>
        <w:pStyle w:val="Heading4"/>
      </w:pPr>
      <w:r>
        <w:t xml:space="preserve">Maschi e femmine (2024)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bilancio_2025_files/figure-docx/bes_occup_mf_plot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End w:id="101"/>
    <w:bookmarkStart w:id="111" w:name="Xe2aeb8de640d45a015548cf98437c820e84e13a"/>
    <w:p>
      <w:pPr>
        <w:pStyle w:val="Heading3"/>
      </w:pPr>
      <w:r>
        <w:t xml:space="preserve">Disoccupazione e mancata partecipazione al lavoro</w:t>
      </w:r>
    </w:p>
    <w:p>
      <w:pPr>
        <w:pStyle w:val="FirstParagraph"/>
      </w:pPr>
      <w:r>
        <w:t xml:space="preserve">In base al</w:t>
      </w:r>
      <w:r>
        <w:t xml:space="preserve"> </w:t>
      </w:r>
      <w:r>
        <w:rPr>
          <w:b/>
          <w:bCs/>
        </w:rPr>
        <w:t xml:space="preserve">tasso di mancata partecipazione al lavoro</w:t>
      </w:r>
      <w:r>
        <w:t xml:space="preserve">, Parma (ed Emilia-Romagna) registrano performance significamente migliori dela media nazionale, pur mantenendo lo svantaggio per la fascia più giovane, e un divario sfavorevole per le donne.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Il</w:t>
            </w:r>
            <w:r>
              <w:t xml:space="preserve"> </w:t>
            </w:r>
            <w:r>
              <w:rPr>
                <w:b/>
                <w:bCs/>
              </w:rPr>
              <w:t xml:space="preserve">tasso di mancata partecipazione al lavoro</w:t>
            </w:r>
            <w:r>
              <w:t xml:space="preserve"> </w:t>
            </w:r>
            <w:r>
              <w:t xml:space="preserve">misura il</w:t>
            </w:r>
            <w:r>
              <w:t xml:space="preserve"> </w:t>
            </w:r>
            <w:r>
              <w:rPr>
                <w:i/>
                <w:iCs/>
              </w:rPr>
              <w:t xml:space="preserve">Rapporto tra la somma di disoccupati e inattivi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“disponibili”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(persone che non hanno cercato lavoro nelle ultime 4 settimane ma sono disponibili a lavorare), e la somma di forze lavoro (insieme di occupati e disoccupati) e inattivi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“disponibili”</w:t>
            </w:r>
            <w:r>
              <w:rPr>
                <w:i/>
                <w:iCs/>
              </w:rPr>
              <w:t xml:space="preserve">, riferito alla popolazione tra 15 e 74 anni.</w:t>
            </w:r>
            <w:r>
              <w:t xml:space="preserve"> </w:t>
            </w:r>
            <w:r>
              <w:t xml:space="preserve">Questo dato cattura le difficoltà nel coinvolgimento della popolazione nel mercato del lavoro.</w:t>
            </w:r>
          </w:p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bilancio_2025_files/figure-docx/bes_disoccup_plot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0" w:name="maschi-e-femmine-al-2024"/>
    <w:p>
      <w:pPr>
        <w:pStyle w:val="Heading4"/>
      </w:pPr>
      <w:r>
        <w:t xml:space="preserve">Maschi e femmine (al 2024)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ilancio_2025_files/figure-docx/bes_disoccup_m_f_plot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End w:id="111"/>
    <w:bookmarkStart w:id="115" w:name="diplomati-e-laureati-in-emilia-romagna"/>
    <w:p>
      <w:pPr>
        <w:pStyle w:val="Heading3"/>
      </w:pPr>
      <w:r>
        <w:t xml:space="preserve">Diplomati e laureati in Emilia-Romagna</w:t>
      </w:r>
    </w:p>
    <w:p>
      <w:pPr>
        <w:pStyle w:val="FirstParagraph"/>
      </w:pPr>
      <w:r>
        <w:t xml:space="preserve">La provincia di Parma, al 2024, presenta un profilo di istruzione in linea o superiore alla media nazionale. Infatti, la quota dei laureati 25-39 anni (circa 31%) è uguale alla media nazionale (30,0%), mentre quella dei diplomati 25-64 anni (circa 69,9%) è superiore alla media nazionale (65,5%), ma inferiore a quella regionale (71,6%). Parma si distingue invece per il più alto tasso di passaggio dei neo-diplomati all’università in regione (61,8% vs 54,5% ER e 51,7% Italia) e per la minor incidenza di NEET (10,9%, molto inferiore al dato nazionale di 15,2%), segnalando una transizione scuola-lavoro/università particolarmente efficace.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bilancio_2025_files/figure-docx/bes_dip_lau_plot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22" w:name="formazione-e-neet"/>
    <w:p>
      <w:pPr>
        <w:pStyle w:val="Heading3"/>
      </w:pPr>
      <w:r>
        <w:t xml:space="preserve">Formazione e NEET</w:t>
      </w:r>
    </w:p>
    <w:p>
      <w:pPr>
        <w:pStyle w:val="FirstParagraph"/>
      </w:pPr>
      <w:r>
        <w:t xml:space="preserve">Parma mostra tassi NEET costantemente inferiori alla media nazionale (10,9% vs 15,2% nel 2024), abbastanza in linea con la regione. Per i laureati, Parma ha registrato un calo (da 32,4% nel 2018 a 30,8% nel 2024), posizionandosi ora sotto la media regionale (36,4%) ma in linea con quella nazionale (30,9%).</w:t>
      </w:r>
    </w:p>
    <w:p>
      <w:pPr>
        <w:pStyle w:val="BodyText"/>
      </w:pPr>
      <w:r>
        <w:t xml:space="preserve">Resta piuttosto alta la partecipazione a formazione continua sul territorio – superata solo nel 2024 dalla media regionale.</w:t>
      </w:r>
      <w:r>
        <w:br/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bilancio_2025_files/figure-docx/bes_neet_plot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bilancio_2025_files/figure-docx/bes_formaz_plot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End w:id="123"/>
    <w:bookmarkEnd w:id="124"/>
    <w:bookmarkStart w:id="125" w:name="section-1"/>
    <w:p>
      <w:pPr>
        <w:pStyle w:val="Heading1"/>
      </w:pPr>
      <w:r>
        <w:t xml:space="preserve">____</w:t>
      </w:r>
    </w:p>
    <w:bookmarkEnd w:id="125"/>
    <w:bookmarkStart w:id="129" w:name="X17434f237ff556da21455e8213a41950b5959d0"/>
    <w:p>
      <w:pPr>
        <w:pStyle w:val="Heading1"/>
      </w:pPr>
      <w:r>
        <w:t xml:space="preserve">3° PRIORITÀ: Accompagnare le trasformazioni del territorio</w:t>
      </w:r>
    </w:p>
    <w:p>
      <w:pPr>
        <w:pStyle w:val="BlockText"/>
      </w:pPr>
      <w:r>
        <w:t xml:space="preserve">“La Fondazione si pone l’obiettivo strategico di accompagnare il territorio di parma lungo le trasformazioni e i cambiamenti inevitabili”</w:t>
      </w:r>
      <w:r>
        <w:t xml:space="preserve">, supportando una nuova visione strategiica e valorizzando sinergia tra obiettivi. [DPP 2025]”</w:t>
      </w:r>
    </w:p>
    <w:bookmarkStart w:id="128" w:name="qualità-dei-servizi-e-ambiente"/>
    <w:p>
      <w:pPr>
        <w:pStyle w:val="Heading2"/>
      </w:pPr>
      <w:r>
        <w:t xml:space="preserve">Qualità dei servizi e ambiente</w:t>
      </w:r>
    </w:p>
    <w:p>
      <w:pPr>
        <w:pStyle w:val="FirstParagraph"/>
      </w:pPr>
      <w:r>
        <w:t xml:space="preserve">QUI HO MESSO SOLO LE TABELLE PERCHE’ SONO DATI UN PO’ DISPARATI: SI POTREBBE FARSI AIUTARE E FARE DELLE INFOGRAFICHE UN PO’ PIÙ INTERESSANTI…</w:t>
      </w:r>
    </w:p>
    <w:bookmarkStart w:id="126" w:name="tbl-servizi-sul-territorio"/>
    <w:p>
      <w:pPr>
        <w:pStyle w:val="Heading3"/>
      </w:pPr>
      <w:r>
        <w:t xml:space="preserve">[Tbl] Servizi sul territorio</w:t>
      </w:r>
    </w:p>
    <w:p>
      <w:pPr>
        <w:pStyle w:val="FirstParagraph"/>
      </w:pPr>
      <w:r>
        <w:t xml:space="preserve">Nella qualità dei servizi sul territorio, si evidenziano performance migliori a Parma rispetto alla media regionale per quasi tutti gli indicatori considerati, in particolare nella</w:t>
      </w:r>
      <w:r>
        <w:t xml:space="preserve"> </w:t>
      </w:r>
      <w:r>
        <w:rPr>
          <w:b/>
          <w:bCs/>
        </w:rPr>
        <w:t xml:space="preserve">disponibilità di verde urbano</w:t>
      </w:r>
      <w:r>
        <w:t xml:space="preserve">. Sui</w:t>
      </w:r>
      <w:r>
        <w:t xml:space="preserve"> </w:t>
      </w:r>
      <w:r>
        <w:rPr>
          <w:b/>
          <w:bCs/>
        </w:rPr>
        <w:t xml:space="preserve">posti-km offerti dal trasporto pubblico locale</w:t>
      </w:r>
      <w:r>
        <w:t xml:space="preserve">, Parma è al di sopra della regione, ma resta al di sotto della media nazionale.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Copertura della rete fissa di accesso ultra veloce a internet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60,0%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57,6%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59,6%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Comuni con servizi per le famiglie interamente online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Raccolta differenziata dei rifiuti urbani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80,2%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79,7%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77,1%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66,6%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Irregolarità del servizio elettrico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Numero medio per utente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2,5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Posti-km offerti dal Tpl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3128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3956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2789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2764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3763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4694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4623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Disponibilità di verde urbano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M2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87,8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46,8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End w:id="126"/>
    <w:bookmarkStart w:id="127" w:name="tbl-ambiente"/>
    <w:p>
      <w:pPr>
        <w:pStyle w:val="Heading3"/>
      </w:pPr>
      <w:r>
        <w:t xml:space="preserve">[Tbl] Ambiente</w:t>
      </w:r>
    </w:p>
    <w:p>
      <w:pPr>
        <w:pStyle w:val="FirstParagraph"/>
      </w:pPr>
      <w:r>
        <w:t xml:space="preserve">Nell’ambito ambientale, si evidenzia una certa disomogeneità tra Parma e l’Emilia-Romagna – come nella</w:t>
      </w:r>
      <w:r>
        <w:t xml:space="preserve"> </w:t>
      </w:r>
      <w:r>
        <w:rPr>
          <w:b/>
          <w:bCs/>
        </w:rPr>
        <w:t xml:space="preserve">dispersione idrica</w:t>
      </w:r>
      <w:r>
        <w:t xml:space="preserve"> </w:t>
      </w:r>
      <w:r>
        <w:t xml:space="preserve">in cui la media regionale sembra molto più virtuosa, o nella</w:t>
      </w:r>
      <w:r>
        <w:t xml:space="preserve"> </w:t>
      </w:r>
      <w:r>
        <w:rPr>
          <w:b/>
          <w:bCs/>
        </w:rPr>
        <w:t xml:space="preserve">concentrazione di polveri sottili</w:t>
      </w:r>
      <w:r>
        <w:t xml:space="preserve"> </w:t>
      </w:r>
      <w:r>
        <w:t xml:space="preserve">(pur molto al di sotto della media nazionale). Parma mostra performance migliori della media regionale per quel che concerne l’</w:t>
      </w:r>
      <w:r>
        <w:rPr>
          <w:b/>
          <w:bCs/>
        </w:rPr>
        <w:t xml:space="preserve">impermeabilizzazione del suolo</w:t>
      </w:r>
      <w:r>
        <w:t xml:space="preserve"> </w:t>
      </w:r>
      <w:r>
        <w:t xml:space="preserve">e la</w:t>
      </w:r>
      <w:r>
        <w:t xml:space="preserve"> </w:t>
      </w:r>
      <w:r>
        <w:rPr>
          <w:b/>
          <w:bCs/>
        </w:rPr>
        <w:t xml:space="preserve">produzione di rifiuti urbani</w:t>
      </w:r>
      <w:r>
        <w:t xml:space="preserve">.</w:t>
      </w:r>
    </w:p>
    <w:p>
      <w:pPr>
        <w:pStyle w:val="BodyText"/>
      </w:pPr>
      <w:r>
        <w:t xml:space="preserve">DATO QUALITA’ ARIA SBAGLIATO ALLA FONTE…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Rifiuti urbani prodotti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Kg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487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496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Dispersione da rete idrica comunale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Impermeabilizzazione del suolo da copertura artificiale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 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7,60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8,91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7,16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Concentrazione media annua di PM10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Concentrazione media annua di PM2.5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Energia elettrica da fonti rinnovabili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16,9%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21,0%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36,9%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p>
      <w:r>
        <w:br w:type="page"/>
      </w:r>
    </w:p>
    <w:bookmarkEnd w:id="127"/>
    <w:bookmarkEnd w:id="128"/>
    <w:bookmarkEnd w:id="129"/>
    <w:bookmarkStart w:id="133" w:name="musei-monumenti-e-biblioteche"/>
    <w:p>
      <w:pPr>
        <w:pStyle w:val="Heading1"/>
      </w:pPr>
      <w:r>
        <w:t xml:space="preserve">Musei, monumenti e biblioteche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Musei, gallerie, monumenti e biblioteche al 2024/2025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Tipo di istituzione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Numero totale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di istituzioni a gestione pubblica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museo, galleria e/o raccolta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61,0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 /parco archeologico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teatri storici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biblioteche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1.056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Regione Emilia-Romagna, Sistema Bibliotecario Parmense (vari anni)</w:t>
            </w:r>
          </w:p>
        </w:tc>
      </w:tr>
    </w:tbl>
    <w:p>
      <w:pPr>
        <w:pStyle w:val="FirstParagraph"/>
      </w:pPr>
      <w:r>
        <w:t xml:space="preserve">Secondo i dati</w:t>
      </w:r>
      <w:r>
        <w:t xml:space="preserve"> </w:t>
      </w:r>
      <w:r>
        <w:t xml:space="preserve">“Pat-ER”</w:t>
      </w:r>
      <w:r>
        <w:t xml:space="preserve"> </w:t>
      </w:r>
      <w:r>
        <w:t xml:space="preserve">(Patrimonio culturale dell’Emilia-Romagna), aggiornati al 2024/25, l’Emilia-Romagna conta 546</w:t>
      </w:r>
      <w:r>
        <w:t xml:space="preserve"> </w:t>
      </w:r>
      <w:r>
        <w:rPr>
          <w:b/>
          <w:bCs/>
        </w:rPr>
        <w:t xml:space="preserve">musei, gallerie e collezioni</w:t>
      </w:r>
      <w:r>
        <w:t xml:space="preserve">, di cui il 61% gestiti dal settore pubblico. Di questi, 77 si trovano in provincia di Parma – la seconda per numerosità. Cfr. sintesi in infografica</w:t>
      </w:r>
      <w:r>
        <w:t xml:space="preserve"> </w:t>
      </w:r>
      <w:hyperlink r:id="rId130">
        <w:r>
          <w:rPr>
            <w:rStyle w:val="Hyperlink"/>
          </w:rPr>
          <w:t xml:space="preserve">https://bbcc.regione.emilia-romagna.it/musei-in-emilia-romagna/</w:t>
        </w:r>
      </w:hyperlink>
      <w:r>
        <w:t xml:space="preserve">.</w:t>
      </w:r>
    </w:p>
    <w:p>
      <w:pPr>
        <w:pStyle w:val="BodyText"/>
      </w:pPr>
      <w:r>
        <w:t xml:space="preserve">A questi si aggiungono: 401</w:t>
      </w:r>
      <w:r>
        <w:t xml:space="preserve"> </w:t>
      </w:r>
      <w:r>
        <w:rPr>
          <w:b/>
          <w:bCs/>
        </w:rPr>
        <w:t xml:space="preserve">siti e monumenti archeologici</w:t>
      </w:r>
      <w:r>
        <w:t xml:space="preserve">, di cui 7 nella provincia di Parma; 131</w:t>
      </w:r>
      <w:r>
        <w:t xml:space="preserve"> </w:t>
      </w:r>
      <w:r>
        <w:rPr>
          <w:b/>
          <w:bCs/>
        </w:rPr>
        <w:t xml:space="preserve">castelli visitabili</w:t>
      </w:r>
      <w:r>
        <w:t xml:space="preserve"> </w:t>
      </w:r>
      <w:r>
        <w:t xml:space="preserve">in regione, di cui 22 nella provincia di Parma; più moltissimi altri luoghi d’interesse (stabilimenti termali, archeologia industriale, cimiteri monumentali, ecc.).</w:t>
      </w:r>
      <w:r>
        <w:t xml:space="preserve"> </w:t>
      </w:r>
      <w:r>
        <w:t xml:space="preserve">(Regione Emilia Romagna 2026)</w:t>
      </w:r>
    </w:p>
    <w:p>
      <w:pPr>
        <w:pStyle w:val="BodyText"/>
      </w:pPr>
      <w:r>
        <w:t xml:space="preserve">La provincia di Parma si distingue anche per l’altissima disponiilità di</w:t>
      </w:r>
      <w:r>
        <w:t xml:space="preserve"> </w:t>
      </w:r>
      <w:r>
        <w:rPr>
          <w:b/>
          <w:bCs/>
        </w:rPr>
        <w:t xml:space="preserve">verde urbano</w:t>
      </w:r>
      <w:r>
        <w:t xml:space="preserve"> </w:t>
      </w:r>
      <w:r>
        <w:t xml:space="preserve">– circa 88 m^2/abitante, molto sopra la media italiana di 34 m^2/abitante –</w:t>
      </w:r>
      <w:r>
        <w:t xml:space="preserve"> </w:t>
      </w:r>
      <w:r>
        <w:t xml:space="preserve">Istat (2025c)</w:t>
      </w:r>
      <w:r>
        <w:t xml:space="preserve">. Qui si trovano anche 9 dei 103</w:t>
      </w:r>
      <w:r>
        <w:t xml:space="preserve"> </w:t>
      </w:r>
      <w:r>
        <w:rPr>
          <w:b/>
          <w:bCs/>
        </w:rPr>
        <w:t xml:space="preserve">parchi e giardini storici</w:t>
      </w:r>
      <w:r>
        <w:t xml:space="preserve"> </w:t>
      </w:r>
      <w:r>
        <w:t xml:space="preserve">della Regione.</w:t>
      </w:r>
    </w:p>
    <w:p>
      <w:pPr>
        <w:pStyle w:val="BodyText"/>
      </w:pPr>
      <w:r>
        <w:t xml:space="preserve">In base ai dati del servizio bibliotecario regionali</w:t>
      </w:r>
      <w:r>
        <w:t xml:space="preserve"> </w:t>
      </w:r>
      <w:r>
        <w:t xml:space="preserve">(Sistema Bibliotecario Parmense 2026)</w:t>
      </w:r>
      <w:r>
        <w:t xml:space="preserve">, l’Emilia romagna conta 1,056</w:t>
      </w:r>
      <w:r>
        <w:t xml:space="preserve"> </w:t>
      </w:r>
      <w:r>
        <w:rPr>
          <w:b/>
          <w:bCs/>
        </w:rPr>
        <w:t xml:space="preserve">biblioteche</w:t>
      </w:r>
      <w:r>
        <w:t xml:space="preserve"> </w:t>
      </w:r>
      <w:r>
        <w:t xml:space="preserve">(comunali, provinciali, statali, universitarie, ecclesiastiche e di enti privati), di cui il 41% in capo a enti locali.</w:t>
      </w:r>
    </w:p>
    <w:p>
      <w:pPr>
        <w:pStyle w:val="BodyText"/>
      </w:pPr>
      <w:r>
        <w:t xml:space="preserve">All’interno del polo bibliotecario di Parma, si contano un totale di</w:t>
      </w:r>
      <w:r>
        <w:t xml:space="preserve"> </w:t>
      </w:r>
      <w:r>
        <w:rPr>
          <w:b/>
          <w:bCs/>
        </w:rPr>
        <w:t xml:space="preserve">106</w:t>
      </w:r>
      <w:r>
        <w:t xml:space="preserve"> </w:t>
      </w:r>
      <w:r>
        <w:t xml:space="preserve">biblioteche, di cui:</w:t>
      </w:r>
    </w:p>
    <w:p>
      <w:pPr>
        <w:pStyle w:val="Compact"/>
        <w:numPr>
          <w:ilvl w:val="0"/>
          <w:numId w:val="1008"/>
        </w:numPr>
      </w:pPr>
      <w:r>
        <w:t xml:space="preserve">12 Biblioteche dell’Università degli Studi di Parma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6 Biblioteche statali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39 Biblioteche della Provincia di Parma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20 Biblioteche comunali di Parma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3 Biblioteche di Casa della Musica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9 Biblioteche scolastiche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14 Biblioteche convenzionate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L’</w:t>
            </w:r>
            <w:r>
              <w:rPr>
                <w:b/>
                <w:bCs/>
              </w:rPr>
              <w:t xml:space="preserve">Indagine sui musei e le istituzioni similari</w:t>
            </w:r>
            <w:r>
              <w:t xml:space="preserve"> </w:t>
            </w:r>
            <w:r>
              <w:t xml:space="preserve">è la più importante ed estesa rilevazione censuaria Istat, realizzata con il Ministero della Cultura, Regioni e Province Autonome, per mappare il sistema museale italiano. Raccoglie dati su struttura, servizi, attività, pubblico e rapporto con il territorio. Avviata nel 2012, è stata aggiornata l’ultima volta al 2023 (dati riferiti al 2022) – in allegato una presentazione dei dati più salienti per l’Emilia Romagna</w:t>
            </w:r>
            <w:r>
              <w:t xml:space="preserve"> </w:t>
            </w:r>
            <w:r>
              <w:t xml:space="preserve">(RE-R Statistica and Istat 2023)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La somministrazione del prossimo questionario avverrà nel 2026 (per i dati riferiti al 2025).</w:t>
            </w:r>
          </w:p>
        </w:tc>
      </w:tr>
    </w:tbl>
    <w:bookmarkEnd w:id="133"/>
    <w:bookmarkStart w:id="134" w:name="section-2"/>
    <w:p>
      <w:pPr>
        <w:pStyle w:val="Heading1"/>
      </w:pPr>
      <w:r>
        <w:t xml:space="preserve">____</w:t>
      </w:r>
    </w:p>
    <w:bookmarkEnd w:id="134"/>
    <w:bookmarkStart w:id="143" w:name="X489f9b6d5a5b4aa949a31c95b266d11742852c4"/>
    <w:p>
      <w:pPr>
        <w:pStyle w:val="Heading1"/>
      </w:pPr>
      <w:r>
        <w:t xml:space="preserve">AMBITO INTERVENTO: Valorizzare l’innovazione</w:t>
      </w:r>
    </w:p>
    <w:bookmarkStart w:id="138" w:name="propensione-alla-brevettazione"/>
    <w:p>
      <w:pPr>
        <w:pStyle w:val="Heading3"/>
      </w:pPr>
      <w:r>
        <w:t xml:space="preserve">Propensione alla brevettazione</w:t>
      </w:r>
    </w:p>
    <w:p>
      <w:pPr>
        <w:pStyle w:val="FirstParagraph"/>
      </w:pPr>
      <w:r>
        <w:t xml:space="preserve">Secondo dati dell’Ufficio Europeo Brevetti (</w:t>
      </w:r>
      <w:r>
        <w:t xml:space="preserve"> </w:t>
      </w:r>
      <w:r>
        <w:rPr>
          <w:i/>
          <w:iCs/>
        </w:rPr>
        <w:t xml:space="preserve">European Patent Office</w:t>
      </w:r>
      <w:r>
        <w:t xml:space="preserve">, o EPO), al 2024, l’Italia è il 6° paese dell’EU per brevetti presentati (4,853 su 68,392) e l’11° nel ranking globale, principalmente nei comparti:</w:t>
      </w:r>
      <w:r>
        <w:t xml:space="preserve"> </w:t>
      </w:r>
      <w:r>
        <w:rPr>
          <w:b/>
          <w:bCs/>
        </w:rPr>
        <w:t xml:space="preserve">Trasporti</w:t>
      </w:r>
      <w:r>
        <w:t xml:space="preserve">, seguito da</w:t>
      </w:r>
      <w:r>
        <w:t xml:space="preserve"> </w:t>
      </w:r>
      <w:r>
        <w:rPr>
          <w:b/>
          <w:bCs/>
        </w:rPr>
        <w:t xml:space="preserve">Handling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Altre macchine speciali</w:t>
      </w:r>
      <w:r>
        <w:t xml:space="preserve">.</w:t>
      </w:r>
      <w:r>
        <w:t xml:space="preserve"> </w:t>
      </w:r>
      <w:r>
        <w:t xml:space="preserve">(Eurostat 2024)</w:t>
      </w:r>
    </w:p>
    <w:p>
      <w:pPr>
        <w:pStyle w:val="BodyText"/>
      </w:pPr>
      <w:r>
        <w:t xml:space="preserve">Tra le regioni italiane, Lombardia, Emilia-Romagna e Veneto restano quelle più attive, contribuendo a oltre il 60% delle domande totali dall’Italia. La Lombardia si conferma leader per numero assoluto di brevetti presentate (1.468 domande, 30,2% del totale nazionale), pur con un calo del 9,7%, seguita dall’Emilia-Romagna (922, pari al 19,0% del totale italiano), che evidenzia una contrazione più contenuta (-3,8%). Se però prendiamo in considerazione il numero di brevetti in rapporto alla popolazione residente, l’Emilia-Romagna si conferma anche nel 2024 come prima regione in Italia per domande di brevetto depositate pro-capite, con 207 domande.</w:t>
      </w:r>
      <w:r>
        <w:t xml:space="preserve"> </w:t>
      </w:r>
      <w:r>
        <w:t xml:space="preserve">(ART-ER 2025)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bilancio_2025_files/figure-docx/epo_plot-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2" w:name="Xa71a79528b1b5d68dca92dacbbef8e4061af517"/>
    <w:p>
      <w:pPr>
        <w:pStyle w:val="Heading3"/>
      </w:pPr>
      <w:r>
        <w:t xml:space="preserve">Indicatori DESIER di innovazione digitale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indice DESIER</w:t>
      </w:r>
      <w:r>
        <w:t xml:space="preserve"> </w:t>
      </w:r>
      <w:r>
        <w:t xml:space="preserve">(</w:t>
      </w:r>
      <w:r>
        <w:rPr>
          <w:i/>
          <w:iCs/>
        </w:rPr>
        <w:t xml:space="preserve">Digital Economy and Society Index for European Regions</w:t>
      </w:r>
      <w:r>
        <w:t xml:space="preserve">) misura le performance digitali delle regioni europee, e consente di declinare l’indice DESI sull’innovazione digitale anche nei territori dell’Emilia-Romagna</w:t>
      </w:r>
      <w:r>
        <w:t xml:space="preserve"> </w:t>
      </w:r>
      <w:r>
        <w:t xml:space="preserve">(RE-R Agenda Digitale dell’Emilia-Romagna 2025)</w:t>
      </w:r>
      <w:r>
        <w:t xml:space="preserve">. Questo strumento (realizzato nell’ambito delle attività di ADER, Agenda Digitale dell’Emilia-Romagna) consente l’analisi di 4 dimensioni di sviluppo principali che, a loro volta, combinano molti indicatori: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Capitale Umano</w:t>
      </w:r>
      <w:r>
        <w:t xml:space="preserve"> </w:t>
      </w:r>
      <w:r>
        <w:t xml:space="preserve">- aspetti connessi alle competenze digitali, la presenza di specialisti del settore digitale, la presenza</w:t>
      </w:r>
      <w:r>
        <w:t xml:space="preserve"> </w:t>
      </w:r>
      <w:r>
        <w:t xml:space="preserve">e l’utilizzo di app, di alcuni servizi online, e social della Pubblica Amministrazione.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Connettività</w:t>
      </w:r>
      <w:r>
        <w:t xml:space="preserve"> </w:t>
      </w:r>
      <w:r>
        <w:t xml:space="preserve">- grado di copertura Internet con rete fissa e mobile e il relativo grado di utilizzo nel territorio.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Integrazione delle tecnologie digitali</w:t>
      </w:r>
      <w:r>
        <w:t xml:space="preserve"> </w:t>
      </w:r>
      <w:r>
        <w:t xml:space="preserve">- presenza sul territorio di imprese del mondo ICT, imprese innovative, start-up e finanziamenti provenienti dalla Smart Specialisation Strategy Regionale, con particolare riferimento alla digitalizzazione</w:t>
      </w:r>
      <w:r>
        <w:t xml:space="preserve"> </w:t>
      </w:r>
      <w:r>
        <w:t xml:space="preserve">del mondo produttivo.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Servizi pubblici digitali</w:t>
      </w:r>
      <w:r>
        <w:t xml:space="preserve"> </w:t>
      </w:r>
      <w:r>
        <w:t xml:space="preserve">- vari aspetti connessi all’esistenza di open data e la possibilità di interagire online con la PA locale, o al grado di utilizzo delle Piattaforme abilitanti da parte dei cittadini e delle imprese (es. SPID, e servizi della sanità digitale online).</w:t>
      </w:r>
    </w:p>
    <w:p>
      <w:pPr>
        <w:pStyle w:val="FirstParagraph"/>
      </w:pPr>
      <w:r>
        <w:t xml:space="preserve">Questi indici mostrano una situazione abbastanza disomogenea tra Parma capoluogo (che si attesta tra i territori più avanzati della regione) e la provincia di Parma (che si posiziona in linea o al di sotto della media regionale).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bilancio_2025_files/figure-docx/desier_barplot-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End w:id="143"/>
    <w:bookmarkStart w:id="168" w:name="fonti"/>
    <w:p>
      <w:pPr>
        <w:pStyle w:val="Heading1"/>
      </w:pPr>
      <w:r>
        <w:t xml:space="preserve">Fonti</w:t>
      </w:r>
    </w:p>
    <w:bookmarkStart w:id="167" w:name="refs"/>
    <w:bookmarkStart w:id="144" w:name="ref-art-erBrevettiDellEuropeanPatent2025"/>
    <w:p>
      <w:pPr>
        <w:pStyle w:val="Bibliography"/>
      </w:pPr>
      <w:r>
        <w:t xml:space="preserve">ART-ER. 2025.</w:t>
      </w:r>
      <w:r>
        <w:t xml:space="preserve"> </w:t>
      </w:r>
      <w:r>
        <w:t xml:space="preserve">“I Brevetti Dell’</w:t>
      </w:r>
      <w:r>
        <w:t xml:space="preserve">European Patent Office</w:t>
      </w:r>
      <w:r>
        <w:t xml:space="preserve"> </w:t>
      </w:r>
      <w:r>
        <w:t xml:space="preserve">Presentati Da Aziende e Inventori Dell’</w:t>
      </w:r>
      <w:r>
        <w:t xml:space="preserve">Emilia-Romagna</w:t>
      </w:r>
      <w:r>
        <w:t xml:space="preserve"> </w:t>
      </w:r>
      <w:r>
        <w:t xml:space="preserve">Nel 2024.”</w:t>
      </w:r>
    </w:p>
    <w:bookmarkEnd w:id="144"/>
    <w:bookmarkStart w:id="146" w:name="ref-eurostatPatentApplicationsEPO2024"/>
    <w:p>
      <w:pPr>
        <w:pStyle w:val="Bibliography"/>
      </w:pPr>
      <w:r>
        <w:t xml:space="preserve">Eurostat. 2024.</w:t>
      </w:r>
      <w:r>
        <w:t xml:space="preserve"> </w:t>
      </w:r>
      <w:r>
        <w:t xml:space="preserve">“Patent Applications to the</w:t>
      </w:r>
      <w:r>
        <w:t xml:space="preserve"> </w:t>
      </w:r>
      <w:r>
        <w:t xml:space="preserve">EPO</w:t>
      </w:r>
      <w:r>
        <w:t xml:space="preserve"> </w:t>
      </w:r>
      <w:r>
        <w:t xml:space="preserve">by Country of Applicants and Inventors (2004 and Onwards).”</w:t>
      </w:r>
      <w:r>
        <w:t xml:space="preserve"> </w:t>
      </w:r>
      <w:r>
        <w:t xml:space="preserve">European Patent Office (EPO).</w:t>
      </w:r>
      <w:r>
        <w:t xml:space="preserve"> </w:t>
      </w:r>
      <w:hyperlink r:id="rId145">
        <w:r>
          <w:rPr>
            <w:rStyle w:val="Hyperlink"/>
          </w:rPr>
          <w:t xml:space="preserve">https://doi.org/10.2908/PAT_EP_TOT</w:t>
        </w:r>
      </w:hyperlink>
      <w:r>
        <w:t xml:space="preserve">.</w:t>
      </w:r>
    </w:p>
    <w:bookmarkEnd w:id="146"/>
    <w:bookmarkStart w:id="148" w:name="ref-fostiSettoreLongTerm2025"/>
    <w:p>
      <w:pPr>
        <w:pStyle w:val="Bibliography"/>
      </w:pPr>
      <w:r>
        <w:t xml:space="preserve">Fosti, Giovanni, Elisabetta Notarnicola, and Eleonora Perobelli. 2025.</w:t>
      </w:r>
      <w:r>
        <w:t xml:space="preserve"> </w:t>
      </w:r>
      <w:r>
        <w:t xml:space="preserve">“Il Settore</w:t>
      </w:r>
      <w:r>
        <w:t xml:space="preserve"> </w:t>
      </w:r>
      <w:r>
        <w:t xml:space="preserve">Long Term Care</w:t>
      </w:r>
      <w:r>
        <w:t xml:space="preserve"> </w:t>
      </w:r>
      <w:r>
        <w:t xml:space="preserve">Tra Connessioni Interdipendenze e Necessità Di Integrazione.”</w:t>
      </w:r>
      <w:r>
        <w:t xml:space="preserve"> </w:t>
      </w:r>
      <w:r>
        <w:t xml:space="preserve">Osservatorio Long Term Care 7° Rapporto. Cergas Bocconi.</w:t>
      </w:r>
      <w:r>
        <w:t xml:space="preserve"> </w:t>
      </w:r>
      <w:hyperlink r:id="rId147">
        <w:r>
          <w:rPr>
            <w:rStyle w:val="Hyperlink"/>
          </w:rPr>
          <w:t xml:space="preserve">https://cergas.unibocconi.eu/sites/default/files/media/attach/FOSTI%20NOTARNICOLA%20PEROBELLI%20il%20settore%20Long%20Term%20Care%20tra%20connessioni%20interdipendenze%20e%20necessita%20di%20integrazione%20.pdf?VersionId=Z5nirZuy8MaHSel2qnvw.uRridMGNios</w:t>
        </w:r>
      </w:hyperlink>
      <w:r>
        <w:t xml:space="preserve">.</w:t>
      </w:r>
    </w:p>
    <w:bookmarkEnd w:id="148"/>
    <w:bookmarkStart w:id="150" w:name="ref-istatDemoDemografiaCifre2025"/>
    <w:p>
      <w:pPr>
        <w:pStyle w:val="Bibliography"/>
      </w:pPr>
      <w:r>
        <w:t xml:space="preserve">Istat. 2025a.</w:t>
      </w:r>
      <w:r>
        <w:t xml:space="preserve"> </w:t>
      </w:r>
      <w:r>
        <w:t xml:space="preserve">“Demo -</w:t>
      </w:r>
      <w:r>
        <w:t xml:space="preserve"> </w:t>
      </w:r>
      <w:r>
        <w:t xml:space="preserve">Demografia</w:t>
      </w:r>
      <w:r>
        <w:t xml:space="preserve"> </w:t>
      </w:r>
      <w:r>
        <w:t xml:space="preserve">in Cifre.”</w:t>
      </w:r>
      <w:r>
        <w:t xml:space="preserve"> </w:t>
      </w:r>
      <w:r>
        <w:t xml:space="preserve">2025.</w:t>
      </w:r>
      <w:r>
        <w:t xml:space="preserve"> </w:t>
      </w:r>
      <w:hyperlink r:id="rId149">
        <w:r>
          <w:rPr>
            <w:rStyle w:val="Hyperlink"/>
          </w:rPr>
          <w:t xml:space="preserve">https://demo.istat.it/?l=it</w:t>
        </w:r>
      </w:hyperlink>
      <w:r>
        <w:t xml:space="preserve">.</w:t>
      </w:r>
    </w:p>
    <w:bookmarkEnd w:id="150"/>
    <w:bookmarkStart w:id="152" w:name="ref-istatConfiniUnitaAmministrative2025a"/>
    <w:p>
      <w:pPr>
        <w:pStyle w:val="Bibliography"/>
      </w:pPr>
      <w:r>
        <w:t xml:space="preserve">———. 2025b.</w:t>
      </w:r>
      <w:r>
        <w:t xml:space="preserve"> </w:t>
      </w:r>
      <w:r>
        <w:t xml:space="preserve">“Confini delle unità amministrative a fini statistici.”</w:t>
      </w:r>
      <w:r>
        <w:t xml:space="preserve"> </w:t>
      </w:r>
      <w:r>
        <w:t xml:space="preserve">March 13, 2025.</w:t>
      </w:r>
      <w:r>
        <w:t xml:space="preserve"> </w:t>
      </w:r>
      <w:hyperlink r:id="rId151">
        <w:r>
          <w:rPr>
            <w:rStyle w:val="Hyperlink"/>
          </w:rPr>
          <w:t xml:space="preserve">https://www.istat.it/notizia/confini-delle-unita-amministrative-a-fini-statistici-al-1-gennaio-2018-2/</w:t>
        </w:r>
      </w:hyperlink>
      <w:r>
        <w:t xml:space="preserve">.</w:t>
      </w:r>
    </w:p>
    <w:bookmarkEnd w:id="152"/>
    <w:bookmarkStart w:id="154" w:name="ref-istatBesTerritoriEmilia2025a"/>
    <w:p>
      <w:pPr>
        <w:pStyle w:val="Bibliography"/>
      </w:pPr>
      <w:r>
        <w:t xml:space="preserve">———. 2025c.</w:t>
      </w:r>
      <w:r>
        <w:t xml:space="preserve"> </w:t>
      </w:r>
      <w:r>
        <w:t xml:space="preserve">“Bes Dei</w:t>
      </w:r>
      <w:r>
        <w:t xml:space="preserve"> </w:t>
      </w:r>
      <w:r>
        <w:t xml:space="preserve">Territori</w:t>
      </w:r>
      <w:r>
        <w:t xml:space="preserve"> </w:t>
      </w:r>
      <w:r>
        <w:t xml:space="preserve">-</w:t>
      </w:r>
      <w:r>
        <w:t xml:space="preserve"> </w:t>
      </w:r>
      <w:r>
        <w:t xml:space="preserve">Emilia Romagna</w:t>
      </w:r>
      <w:r>
        <w:t xml:space="preserve"> </w:t>
      </w:r>
      <w:r>
        <w:t xml:space="preserve">2025.”</w:t>
      </w:r>
      <w:r>
        <w:t xml:space="preserve"> </w:t>
      </w:r>
      <w:r>
        <w:t xml:space="preserve">Comunicato territoriale. 109739.</w:t>
      </w:r>
      <w:r>
        <w:t xml:space="preserve"> </w:t>
      </w:r>
      <w:hyperlink r:id="rId153">
        <w:r>
          <w:rPr>
            <w:rStyle w:val="Hyperlink"/>
          </w:rPr>
          <w:t xml:space="preserve">https://www.istat.it/wp-content/uploads/2025/12/BesT2025_Emilia-Romagna.pdf</w:t>
        </w:r>
      </w:hyperlink>
      <w:r>
        <w:t xml:space="preserve">.</w:t>
      </w:r>
    </w:p>
    <w:bookmarkEnd w:id="154"/>
    <w:bookmarkStart w:id="156" w:name="Xb34254e6c814bb0d0064f2dfbe675e8843c13b5"/>
    <w:p>
      <w:pPr>
        <w:pStyle w:val="Bibliography"/>
      </w:pPr>
      <w:r>
        <w:t xml:space="preserve">Regione Emilia Romagna. 2026.</w:t>
      </w:r>
      <w:r>
        <w:t xml:space="preserve"> </w:t>
      </w:r>
      <w:r>
        <w:t xml:space="preserve">“Patrimonio Culturale Dell’</w:t>
      </w:r>
      <w:r>
        <w:t xml:space="preserve">Emilia-Romagna</w:t>
      </w:r>
      <w:r>
        <w:t xml:space="preserve">.”</w:t>
      </w:r>
      <w:r>
        <w:t xml:space="preserve"> </w:t>
      </w:r>
      <w:r>
        <w:t xml:space="preserve">2026.</w:t>
      </w:r>
      <w:r>
        <w:t xml:space="preserve"> </w:t>
      </w:r>
      <w:hyperlink r:id="rId155">
        <w:r>
          <w:rPr>
            <w:rStyle w:val="Hyperlink"/>
          </w:rPr>
          <w:t xml:space="preserve">https://bbcc.regione.emilia-romagna.it/pater/search.do?type=m&amp;option(OGTD)=strict&amp;value(OGTD)=Musei&amp;fakesearch=Musei</w:t>
        </w:r>
      </w:hyperlink>
      <w:r>
        <w:t xml:space="preserve">.</w:t>
      </w:r>
    </w:p>
    <w:bookmarkEnd w:id="156"/>
    <w:bookmarkStart w:id="158" w:name="X2dad0e74d362bae1b9ea60c8681a301ca68adb2"/>
    <w:p>
      <w:pPr>
        <w:pStyle w:val="Bibliography"/>
      </w:pPr>
      <w:r>
        <w:t xml:space="preserve">RE-R Agenda Digitale dell’Emilia-Romagna. 2025.</w:t>
      </w:r>
      <w:r>
        <w:t xml:space="preserve"> </w:t>
      </w:r>
      <w:r>
        <w:t xml:space="preserve">“A spasso con DESIER: le performance di innovazione digitale del Comune di Parma.”</w:t>
      </w:r>
      <w:r>
        <w:t xml:space="preserve"> </w:t>
      </w:r>
      <w:hyperlink r:id="rId157">
        <w:r>
          <w:rPr>
            <w:rStyle w:val="Hyperlink"/>
          </w:rPr>
          <w:t xml:space="preserve">https://digitale.regione.emilia-romagna.it/notizie/2025/maggio/a-spasso-con-desier-le-performance-di-innovazione-digitale-del-comune-di-parma</w:t>
        </w:r>
      </w:hyperlink>
      <w:r>
        <w:t xml:space="preserve">.</w:t>
      </w:r>
    </w:p>
    <w:bookmarkEnd w:id="158"/>
    <w:bookmarkStart w:id="160" w:name="X55cb39cda2c3893020072fedbd198e0f73c2abf"/>
    <w:p>
      <w:pPr>
        <w:pStyle w:val="Bibliography"/>
      </w:pPr>
      <w:r>
        <w:t xml:space="preserve">RE-R Statistica. 2024.</w:t>
      </w:r>
      <w:r>
        <w:t xml:space="preserve"> </w:t>
      </w:r>
      <w:r>
        <w:t xml:space="preserve">“Popolazione residente per sesso, età e territorio.”</w:t>
      </w:r>
      <w:r>
        <w:t xml:space="preserve"> </w:t>
      </w:r>
      <w:r>
        <w:t xml:space="preserve">September 20, 2024.</w:t>
      </w:r>
      <w:r>
        <w:t xml:space="preserve"> </w:t>
      </w:r>
      <w:hyperlink r:id="rId159">
        <w:r>
          <w:rPr>
            <w:rStyle w:val="Hyperlink"/>
          </w:rPr>
          <w:t xml:space="preserve">https://statistica.regione.emilia-romagna.it/dati/statistica-self-service/popolazione/popolazione-per-eta-e-sesso</w:t>
        </w:r>
      </w:hyperlink>
      <w:r>
        <w:t xml:space="preserve">.</w:t>
      </w:r>
    </w:p>
    <w:bookmarkEnd w:id="160"/>
    <w:bookmarkStart w:id="162" w:name="X51c05c0937d28e07205812bde6bdc824159d2ba"/>
    <w:p>
      <w:pPr>
        <w:pStyle w:val="Bibliography"/>
      </w:pPr>
      <w:r>
        <w:t xml:space="preserve">———. 2025.</w:t>
      </w:r>
      <w:r>
        <w:t xml:space="preserve"> </w:t>
      </w:r>
      <w:r>
        <w:t xml:space="preserve">“La potenziale fragilità demografica, sociale ed economica nei comuni dell’Emilia-Romagna nel 2023.”</w:t>
      </w:r>
      <w:r>
        <w:t xml:space="preserve"> </w:t>
      </w:r>
      <w:r>
        <w:t xml:space="preserve">July 18, 2025.</w:t>
      </w:r>
      <w:r>
        <w:t xml:space="preserve"> </w:t>
      </w:r>
      <w:hyperlink r:id="rId161">
        <w:r>
          <w:rPr>
            <w:rStyle w:val="Hyperlink"/>
          </w:rPr>
          <w:t xml:space="preserve">https://statistica.regione.emilia-romagna.it/studi-analisi/2025/mappe-potenziale-fragilita-emilia-romagna-2023</w:t>
        </w:r>
      </w:hyperlink>
      <w:r>
        <w:t xml:space="preserve">.</w:t>
      </w:r>
    </w:p>
    <w:bookmarkEnd w:id="162"/>
    <w:bookmarkStart w:id="164" w:name="X77c0cfc8ecb23e6ce9cd86c2337fad5524c70f9"/>
    <w:p>
      <w:pPr>
        <w:pStyle w:val="Bibliography"/>
      </w:pPr>
      <w:r>
        <w:t xml:space="preserve">RE-R Statistica, and Istat. 2023.</w:t>
      </w:r>
      <w:r>
        <w:t xml:space="preserve"> </w:t>
      </w:r>
      <w:r>
        <w:t xml:space="preserve">“Visualizzazione dati sui musei e le istituzioni similari in Emilia-Romagna.”</w:t>
      </w:r>
      <w:r>
        <w:t xml:space="preserve"> </w:t>
      </w:r>
      <w:r>
        <w:t xml:space="preserve">Rappresentazioni grafiche di dati.</w:t>
      </w:r>
      <w:r>
        <w:t xml:space="preserve"> </w:t>
      </w:r>
      <w:hyperlink r:id="rId163">
        <w:r>
          <w:rPr>
            <w:rStyle w:val="Hyperlink"/>
          </w:rPr>
          <w:t xml:space="preserve">https://statistica.regione.emilia-romagna.it/dati/rappresentazioni-grafiche-dati/visualizzazione-musei-emilia-romagna</w:t>
        </w:r>
      </w:hyperlink>
      <w:r>
        <w:t xml:space="preserve">.</w:t>
      </w:r>
    </w:p>
    <w:bookmarkEnd w:id="164"/>
    <w:bookmarkStart w:id="166" w:name="X4be10cd200e436111ca0c3c595ebcfdca0c9990"/>
    <w:p>
      <w:pPr>
        <w:pStyle w:val="Bibliography"/>
      </w:pPr>
      <w:r>
        <w:t xml:space="preserve">Sistema Bibliotecario Parmense. 2026.</w:t>
      </w:r>
      <w:r>
        <w:t xml:space="preserve"> </w:t>
      </w:r>
      <w:r>
        <w:t xml:space="preserve">“OPAC - Catalogo delle biblioteche.”</w:t>
      </w:r>
      <w:r>
        <w:t xml:space="preserve"> </w:t>
      </w:r>
      <w:r>
        <w:t xml:space="preserve">2026.</w:t>
      </w:r>
      <w:r>
        <w:t xml:space="preserve"> </w:t>
      </w:r>
      <w:hyperlink r:id="rId165">
        <w:r>
          <w:rPr>
            <w:rStyle w:val="Hyperlink"/>
          </w:rPr>
          <w:t xml:space="preserve">https://biblioteche.parma.it/SebinaOpac/page/advanced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8" Target="media/rId78.png" /><Relationship Type="http://schemas.openxmlformats.org/officeDocument/2006/relationships/image" Id="rId41" Target="media/rId41.png" /><Relationship Type="http://schemas.openxmlformats.org/officeDocument/2006/relationships/image" Id="rId112" Target="media/rId112.png" /><Relationship Type="http://schemas.openxmlformats.org/officeDocument/2006/relationships/image" Id="rId107" Target="media/rId107.png" /><Relationship Type="http://schemas.openxmlformats.org/officeDocument/2006/relationships/image" Id="rId104" Target="media/rId104.png" /><Relationship Type="http://schemas.openxmlformats.org/officeDocument/2006/relationships/image" Id="rId119" Target="media/rId119.png" /><Relationship Type="http://schemas.openxmlformats.org/officeDocument/2006/relationships/image" Id="rId75" Target="media/rId75.png" /><Relationship Type="http://schemas.openxmlformats.org/officeDocument/2006/relationships/image" Id="rId116" Target="media/rId116.png" /><Relationship Type="http://schemas.openxmlformats.org/officeDocument/2006/relationships/image" Id="rId97" Target="media/rId97.png" /><Relationship Type="http://schemas.openxmlformats.org/officeDocument/2006/relationships/image" Id="rId94" Target="media/rId94.png" /><Relationship Type="http://schemas.openxmlformats.org/officeDocument/2006/relationships/image" Id="rId88" Target="media/rId88.png" /><Relationship Type="http://schemas.openxmlformats.org/officeDocument/2006/relationships/image" Id="rId67" Target="media/rId67.png" /><Relationship Type="http://schemas.openxmlformats.org/officeDocument/2006/relationships/image" Id="rId139" Target="media/rId139.png" /><Relationship Type="http://schemas.openxmlformats.org/officeDocument/2006/relationships/image" Id="rId51" Target="media/rId51.png" /><Relationship Type="http://schemas.openxmlformats.org/officeDocument/2006/relationships/image" Id="rId135" Target="media/rId13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71" Target="media/rId71.png" /><Relationship Type="http://schemas.openxmlformats.org/officeDocument/2006/relationships/image" Id="rId22" Target="media/rId22.png" /><Relationship Type="http://schemas.openxmlformats.org/officeDocument/2006/relationships/hyperlink" Id="rId130" Target="https://bbcc.regione.emilia-romagna.it/musei-in-emilia-romagna/" TargetMode="External" /><Relationship Type="http://schemas.openxmlformats.org/officeDocument/2006/relationships/hyperlink" Id="rId155" Target="https://bbcc.regione.emilia-romagna.it/pater/search.do?type=m&amp;option(OGTD)=strict&amp;value(OGTD)=Musei&amp;fakesearch=Musei" TargetMode="External" /><Relationship Type="http://schemas.openxmlformats.org/officeDocument/2006/relationships/hyperlink" Id="rId165" Target="https://biblioteche.parma.it/SebinaOpac/page/advanced" TargetMode="External" /><Relationship Type="http://schemas.openxmlformats.org/officeDocument/2006/relationships/hyperlink" Id="rId147" Target="https://cergas.unibocconi.eu/sites/default/files/media/attach/FOSTI%20NOTARNICOLA%20PEROBELLI%20il%20settore%20Long%20Term%20Care%20tra%20connessioni%20interdipendenze%20e%20necessita%20di%20integrazione%20.pdf?VersionId=Z5nirZuy8MaHSel2qnvw.uRridMGNios" TargetMode="External" /><Relationship Type="http://schemas.openxmlformats.org/officeDocument/2006/relationships/hyperlink" Id="rId149" Target="https://demo.istat.it/?l=it" TargetMode="External" /><Relationship Type="http://schemas.openxmlformats.org/officeDocument/2006/relationships/hyperlink" Id="rId157" Target="https://digitale.regione.emilia-romagna.it/notizie/2025/maggio/a-spasso-con-desier-le-performance-di-innovazione-digitale-del-comune-di-parma" TargetMode="External" /><Relationship Type="http://schemas.openxmlformats.org/officeDocument/2006/relationships/hyperlink" Id="rId145" Target="https://doi.org/10.2908/PAT_EP_TOT" TargetMode="External" /><Relationship Type="http://schemas.openxmlformats.org/officeDocument/2006/relationships/hyperlink" Id="rId87" Target="https://ec.europa.eu/eurostat/databrowser/view/tec00113/default/table?lang=en" TargetMode="External" /><Relationship Type="http://schemas.openxmlformats.org/officeDocument/2006/relationships/hyperlink" Id="rId163" Target="https://statistica.regione.emilia-romagna.it/dati/rappresentazioni-grafiche-dati/visualizzazione-musei-emilia-romagna" TargetMode="External" /><Relationship Type="http://schemas.openxmlformats.org/officeDocument/2006/relationships/hyperlink" Id="rId159" Target="https://statistica.regione.emilia-romagna.it/dati/statistica-self-service/popolazione/popolazione-per-eta-e-sesso" TargetMode="External" /><Relationship Type="http://schemas.openxmlformats.org/officeDocument/2006/relationships/hyperlink" Id="rId161" Target="https://statistica.regione.emilia-romagna.it/studi-analisi/2025/mappe-potenziale-fragilita-emilia-romagna-2023" TargetMode="External" /><Relationship Type="http://schemas.openxmlformats.org/officeDocument/2006/relationships/hyperlink" Id="rId28" Target="https://statistica.regione.emilia-romagna.it/studi-analisi/pubblicazioni-ricerche/rapporto-mappe-potenziale-fragilita-emilia-romagna-2023" TargetMode="External" /><Relationship Type="http://schemas.openxmlformats.org/officeDocument/2006/relationships/hyperlink" Id="rId151" Target="https://www.istat.it/notizia/confini-delle-unita-amministrative-a-fini-statistici-al-1-gennaio-2018-2/" TargetMode="External" /><Relationship Type="http://schemas.openxmlformats.org/officeDocument/2006/relationships/hyperlink" Id="rId153" Target="https://www.istat.it/wp-content/uploads/2025/12/BesT2025_Emilia-Romagn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https://bbcc.regione.emilia-romagna.it/musei-in-emilia-romagna/" TargetMode="External" /><Relationship Type="http://schemas.openxmlformats.org/officeDocument/2006/relationships/hyperlink" Id="rId155" Target="https://bbcc.regione.emilia-romagna.it/pater/search.do?type=m&amp;option(OGTD)=strict&amp;value(OGTD)=Musei&amp;fakesearch=Musei" TargetMode="External" /><Relationship Type="http://schemas.openxmlformats.org/officeDocument/2006/relationships/hyperlink" Id="rId165" Target="https://biblioteche.parma.it/SebinaOpac/page/advanced" TargetMode="External" /><Relationship Type="http://schemas.openxmlformats.org/officeDocument/2006/relationships/hyperlink" Id="rId147" Target="https://cergas.unibocconi.eu/sites/default/files/media/attach/FOSTI%20NOTARNICOLA%20PEROBELLI%20il%20settore%20Long%20Term%20Care%20tra%20connessioni%20interdipendenze%20e%20necessita%20di%20integrazione%20.pdf?VersionId=Z5nirZuy8MaHSel2qnvw.uRridMGNios" TargetMode="External" /><Relationship Type="http://schemas.openxmlformats.org/officeDocument/2006/relationships/hyperlink" Id="rId149" Target="https://demo.istat.it/?l=it" TargetMode="External" /><Relationship Type="http://schemas.openxmlformats.org/officeDocument/2006/relationships/hyperlink" Id="rId157" Target="https://digitale.regione.emilia-romagna.it/notizie/2025/maggio/a-spasso-con-desier-le-performance-di-innovazione-digitale-del-comune-di-parma" TargetMode="External" /><Relationship Type="http://schemas.openxmlformats.org/officeDocument/2006/relationships/hyperlink" Id="rId145" Target="https://doi.org/10.2908/PAT_EP_TOT" TargetMode="External" /><Relationship Type="http://schemas.openxmlformats.org/officeDocument/2006/relationships/hyperlink" Id="rId87" Target="https://ec.europa.eu/eurostat/databrowser/view/tec00113/default/table?lang=en" TargetMode="External" /><Relationship Type="http://schemas.openxmlformats.org/officeDocument/2006/relationships/hyperlink" Id="rId163" Target="https://statistica.regione.emilia-romagna.it/dati/rappresentazioni-grafiche-dati/visualizzazione-musei-emilia-romagna" TargetMode="External" /><Relationship Type="http://schemas.openxmlformats.org/officeDocument/2006/relationships/hyperlink" Id="rId159" Target="https://statistica.regione.emilia-romagna.it/dati/statistica-self-service/popolazione/popolazione-per-eta-e-sesso" TargetMode="External" /><Relationship Type="http://schemas.openxmlformats.org/officeDocument/2006/relationships/hyperlink" Id="rId161" Target="https://statistica.regione.emilia-romagna.it/studi-analisi/2025/mappe-potenziale-fragilita-emilia-romagna-2023" TargetMode="External" /><Relationship Type="http://schemas.openxmlformats.org/officeDocument/2006/relationships/hyperlink" Id="rId28" Target="https://statistica.regione.emilia-romagna.it/studi-analisi/pubblicazioni-ricerche/rapporto-mappe-potenziale-fragilita-emilia-romagna-2023" TargetMode="External" /><Relationship Type="http://schemas.openxmlformats.org/officeDocument/2006/relationships/hyperlink" Id="rId151" Target="https://www.istat.it/notizia/confini-delle-unita-amministrative-a-fini-statistici-al-1-gennaio-2018-2/" TargetMode="External" /><Relationship Type="http://schemas.openxmlformats.org/officeDocument/2006/relationships/hyperlink" Id="rId153" Target="https://www.istat.it/wp-content/uploads/2025/12/BesT2025_Emilia-Romagn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Bilancio di Missione 2025</dc:title>
  <dc:creator>Fondazione Cariparma - Osservatorio dei dati sociali</dc:creator>
  <cp:keywords/>
  <dcterms:created xsi:type="dcterms:W3CDTF">2026-02-19T16:09:10Z</dcterms:created>
  <dcterms:modified xsi:type="dcterms:W3CDTF">2026-02-19T16:09:10Z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CRP_bil_miss.bib</vt:lpwstr>
  </property>
  <property fmtid="{D5CDD505-2E9C-101B-9397-08002B2CF9AE}" pid="5" name="by-author">
    <vt:lpwstr/>
  </property>
  <property fmtid="{D5CDD505-2E9C-101B-9397-08002B2CF9AE}" pid="6" name="date">
    <vt:lpwstr>19-February-2026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Table of contents</vt:lpwstr>
  </property>
</Properties>
</file>