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Migrazione e integrazione dei sistemi di monitoraggio progetti</w:t>
      </w:r>
    </w:p>
    <w:p>
      <w:pPr>
        <w:pStyle w:val="Subtitle"/>
      </w:pPr>
      <w:r>
        <w:t xml:space="preserve">Piano di lavoro operativo</w:t>
      </w:r>
    </w:p>
    <w:p>
      <w:pPr>
        <w:pStyle w:val="Date"/>
      </w:pPr>
      <w:r>
        <w:t xml:space="preserve">27-agosto-2026</w:t>
      </w:r>
    </w:p>
    <w:bookmarkStart w:id="12" w:name="obiettivo"/>
    <w:p>
      <w:pPr>
        <w:pStyle w:val="Heading1"/>
      </w:pPr>
      <w:r>
        <w:t xml:space="preserve">Obiettivo</w:t>
      </w:r>
    </w:p>
    <w:p>
      <w:pPr>
        <w:pStyle w:val="FirstParagraph"/>
      </w:pPr>
      <w:r>
        <w:t xml:space="preserve">La Fondazione rileva oggi le informazioni sugli Enti beneficiari con strumenti nati in tempi diversi e archiviati su piattaforme distinte, per lo più gestite da terzi. Nello specifico: il gestionale</w:t>
      </w:r>
      <w:r>
        <w:t xml:space="preserve"> </w:t>
      </w:r>
      <w:r>
        <w:rPr>
          <w:rStyle w:val="VerbatimChar"/>
        </w:rPr>
        <w:t xml:space="preserve">SIME</w:t>
      </w:r>
      <w:r>
        <w:t xml:space="preserve"> </w:t>
      </w:r>
      <w:r>
        <w:t xml:space="preserve">(storico enti e progetti),</w:t>
      </w:r>
      <w:r>
        <w:t xml:space="preserve"> </w:t>
      </w:r>
      <w:r>
        <w:rPr>
          <w:rStyle w:val="VerbatimChar"/>
        </w:rPr>
        <w:t xml:space="preserve">MO.V.O.T</w:t>
      </w:r>
      <w:r>
        <w:t xml:space="preserve"> </w:t>
      </w:r>
      <w:r>
        <w:t xml:space="preserve">per i questionari di monitoraggio e</w:t>
      </w:r>
      <w:r>
        <w:t xml:space="preserve"> </w:t>
      </w:r>
      <w:r>
        <w:rPr>
          <w:rStyle w:val="VerbatimChar"/>
        </w:rPr>
        <w:t xml:space="preserve">OIS Impact Call</w:t>
      </w:r>
      <w:r>
        <w:t xml:space="preserve"> </w:t>
      </w:r>
      <w:r>
        <w:t xml:space="preserve">per i questionari della valutazione d’impatto.</w:t>
      </w:r>
    </w:p>
    <w:p>
      <w:pPr>
        <w:pStyle w:val="BodyText"/>
      </w:pPr>
      <w:r>
        <w:t xml:space="preserve">Questa frammentazione produce quattro problemi concreti: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Lavoro duplicato</w:t>
      </w:r>
      <w:r>
        <w:t xml:space="preserve">: le stesse informazioni vengono inserite, estratte e riconciliate a mano più volte per ciclo di rilevazione, con costi in ore/persona che si sommano ai canoni dei tre fornitori.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Onere ingiustificato sugli Enti</w:t>
      </w:r>
      <w:r>
        <w:t xml:space="preserve">: i due questionari (</w:t>
      </w:r>
      <w:r>
        <w:rPr>
          <w:rStyle w:val="VerbatimChar"/>
        </w:rPr>
        <w:t xml:space="preserve">MO.V.O.T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OIS Impact Call</w:t>
      </w:r>
      <w:r>
        <w:t xml:space="preserve">), sono in larga parte sovrapponibili per contenuti e tempistiche — sollecitati entrambe sia ex ante che ex post.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Accesso limitato ai nostri stessi dati</w:t>
      </w:r>
      <w:r>
        <w:t xml:space="preserve">: per due sistemi su tre (</w:t>
      </w:r>
      <w:r>
        <w:rPr>
          <w:rStyle w:val="VerbatimChar"/>
        </w:rPr>
        <w:t xml:space="preserve">SIME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OIS Impact Call</w:t>
      </w:r>
      <w:r>
        <w:t xml:space="preserve">) non abbiamo, ad oggi, accesso diretto alla base dati, ma solo tramite interfaccia applicativa.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 informativa non pronta per l’IA</w:t>
      </w:r>
      <w:r>
        <w:t xml:space="preserve">: senza accesso diretto, formati portabili e metadati documentati, non possiamo sfruttare gli strumenti di analisi che stanno diventando lo standard.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finestra di opportunità</w:t>
      </w:r>
      <w:r>
        <w:t xml:space="preserve"> </w:t>
      </w:r>
      <w:r>
        <w:t xml:space="preserve">è adesso: il passaggio del gestionale a</w:t>
      </w:r>
      <w:r>
        <w:t xml:space="preserve"> </w:t>
      </w:r>
      <w:r>
        <w:rPr>
          <w:rStyle w:val="VerbatimChar"/>
        </w:rPr>
        <w:t xml:space="preserve">SIME EROWEB</w:t>
      </w:r>
      <w:r>
        <w:t xml:space="preserve">, previsto per il 2027 e non più differibile, obbliga comunque a rimettere mano all’architettura informativa.</w:t>
      </w:r>
      <w:r>
        <w:t xml:space="preserve"> </w:t>
      </w:r>
      <w:r>
        <w:t xml:space="preserve">Il</w:t>
      </w:r>
      <w:r>
        <w:t xml:space="preserve"> </w:t>
      </w:r>
      <w:r>
        <w:rPr>
          <w:b/>
          <w:bCs/>
        </w:rPr>
        <w:t xml:space="preserve">criterio guida</w:t>
      </w:r>
      <w:r>
        <w:t xml:space="preserve"> </w:t>
      </w:r>
      <w:r>
        <w:t xml:space="preserve">è assicurare l’accesso diretto ai dati, con formati portabili, metadati documentati.</w:t>
      </w:r>
    </w:p>
    <w:bookmarkStart w:id="9" w:name="margine-di-manovra"/>
    <w:p>
      <w:pPr>
        <w:pStyle w:val="Heading2"/>
      </w:pPr>
      <w:r>
        <w:t xml:space="preserve">Margine di manovra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POCO</w:t>
      </w:r>
      <w:r>
        <w:t xml:space="preserve">: nel passaggio</w:t>
      </w:r>
      <w:r>
        <w:t xml:space="preserve"> </w:t>
      </w:r>
      <w:r>
        <w:rPr>
          <w:rStyle w:val="VerbatimChar"/>
        </w:rPr>
        <w:t xml:space="preserve">SIME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SIME EROWEB</w:t>
      </w:r>
      <w:r>
        <w:t xml:space="preserve"> </w:t>
      </w:r>
      <w:r>
        <w:t xml:space="preserve">(grossi vincoli, fornitore invariato: Struttura Informatica, ecc.), ma è comunque l’occasione per valutare condizioni di</w:t>
      </w:r>
      <w:r>
        <w:t xml:space="preserve"> </w:t>
      </w:r>
      <w:r>
        <w:rPr>
          <w:b/>
          <w:bCs/>
        </w:rPr>
        <w:t xml:space="preserve">accesso diretto alla base dati</w:t>
      </w:r>
      <w:r>
        <w:t xml:space="preserve">.</w:t>
      </w:r>
    </w:p>
    <w:p>
      <w:pPr>
        <w:numPr>
          <w:ilvl w:val="1"/>
          <w:numId w:val="1003"/>
        </w:numPr>
      </w:pPr>
      <w:r>
        <w:t xml:space="preserve">La migrazione porterà inevitabili costi/rallentamenti che potrebbero pesare sul flusso di lavoro.</w:t>
      </w:r>
      <w:r>
        <w:t xml:space="preserve"> </w:t>
      </w:r>
      <w:r>
        <w:rPr>
          <w:b/>
          <w:bCs/>
        </w:rPr>
        <w:t xml:space="preserve">Mitigare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disruptions</w:t>
      </w:r>
      <w:r>
        <w:t xml:space="preserve"> </w:t>
      </w:r>
      <w:r>
        <w:t xml:space="preserve">per Area Erogativa?</w:t>
      </w:r>
    </w:p>
    <w:p>
      <w:pPr>
        <w:numPr>
          <w:ilvl w:val="1"/>
          <w:numId w:val="1003"/>
        </w:numPr>
      </w:pPr>
      <w:r>
        <w:t xml:space="preserve">Durante la transizione deve essere definita in ogni momento</w:t>
      </w:r>
      <w:r>
        <w:t xml:space="preserve"> </w:t>
      </w:r>
      <w:r>
        <w:rPr>
          <w:b/>
          <w:bCs/>
        </w:rPr>
        <w:t xml:space="preserve">un’unica fonte master</w:t>
      </w:r>
      <w:r>
        <w:t xml:space="preserve"> </w:t>
      </w:r>
      <w:r>
        <w:t xml:space="preserve">delle pratiche (con data di</w:t>
      </w:r>
      <w:r>
        <w:t xml:space="preserve"> </w:t>
      </w:r>
      <w:r>
        <w:rPr>
          <w:i/>
          <w:iCs/>
        </w:rPr>
        <w:t xml:space="preserve">cutover</w:t>
      </w:r>
      <w:r>
        <w:t xml:space="preserve"> </w:t>
      </w:r>
      <w:r>
        <w:t xml:space="preserve">esplicita = quando diventa EROWEB il riiferimento?)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TANTO</w:t>
      </w:r>
      <w:r>
        <w:t xml:space="preserve">: Di converso, a decorrere dal 2028, le 2 rilevazioni periodiche verso gli Enti beneficiari — monitoraggio (</w:t>
      </w:r>
      <w:r>
        <w:rPr>
          <w:rStyle w:val="VerbatimChar"/>
        </w:rPr>
        <w:t xml:space="preserve">MO.V.O.T</w:t>
      </w:r>
      <w:r>
        <w:t xml:space="preserve">, dal ????) e valutazione d’impatto (</w:t>
      </w:r>
      <w:r>
        <w:rPr>
          <w:rStyle w:val="VerbatimChar"/>
        </w:rPr>
        <w:t xml:space="preserve">OIS</w:t>
      </w:r>
      <w:r>
        <w:t xml:space="preserve"> </w:t>
      </w:r>
      <w:r>
        <w:t xml:space="preserve">di Open Impact) — potrebbero ragionevolmente</w:t>
      </w:r>
      <w:r>
        <w:t xml:space="preserve"> </w:t>
      </w:r>
      <w:r>
        <w:rPr>
          <w:b/>
          <w:bCs/>
        </w:rPr>
        <w:t xml:space="preserve">confluire in un unico sistema</w:t>
      </w:r>
      <w:r>
        <w:t xml:space="preserve">, armonizzato nei contenuti e integrato con il gestionale.</w:t>
      </w:r>
    </w:p>
    <w:p>
      <w:pPr>
        <w:pStyle w:val="Compact"/>
        <w:numPr>
          <w:ilvl w:val="1"/>
          <w:numId w:val="1004"/>
        </w:numPr>
      </w:pPr>
      <w:r>
        <w:t xml:space="preserve">Qui c’è più margine di scelta (altri fornitori?), salvo il principio vincolante sull’aggancio dei questionari</w:t>
      </w:r>
      <w:r>
        <w:t xml:space="preserve"> </w:t>
      </w:r>
      <w:r>
        <w:rPr>
          <w:b/>
          <w:bCs/>
        </w:rPr>
        <w:t xml:space="preserve">alle chiavi SIME</w:t>
      </w:r>
      <w:r>
        <w:t xml:space="preserve"> </w:t>
      </w:r>
      <w:r>
        <w:t xml:space="preserve">(ente + richiesta).</w:t>
      </w:r>
    </w:p>
    <w:bookmarkEnd w:id="9"/>
    <w:bookmarkStart w:id="10" w:name="rischi-principali"/>
    <w:p>
      <w:pPr>
        <w:pStyle w:val="Heading2"/>
      </w:pPr>
      <w:r>
        <w:t xml:space="preserve">Rischi principali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Nuovo lock-in</w:t>
      </w:r>
      <w:r>
        <w:t xml:space="preserve">: il sistema unico può ricreare il problema che risolve. Antidoto: requisiti 1 e 3 della Fase 1 come condizioni contrattuali, non promesse commerciali.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Perdita o degrado dello storico 2024–2026</w:t>
      </w:r>
      <w:r>
        <w:t xml:space="preserve"> </w:t>
      </w:r>
      <w:r>
        <w:t xml:space="preserve">in migrazione. Antidoto: dump completo di verifica prima di qualunque disdetta; riconciliazione dei totali su 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Interruzione del flusso dell’Area Erogativa</w:t>
      </w:r>
      <w:r>
        <w:t xml:space="preserve"> </w:t>
      </w:r>
      <w:r>
        <w:t xml:space="preserve">durante la transizione. Antidoto: doppio esercizio pianificato e pilota su un ciclo solo.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Tempi dei fornitori</w:t>
      </w:r>
      <w:r>
        <w:t xml:space="preserve">: le risposte su contratti ed export possono richiedere settimane. Antidoto: partire dalle richieste scritte subito, in Fase 0.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Ambiguità sulla fonte master durante la transizione SIME → EROWEB</w:t>
      </w:r>
      <w:r>
        <w:t xml:space="preserve">: doppia scrittura, chiavi ri-generate, questionari agganciati alla copia sbagliata. Antidoto: chiarire l’architettura con le richieste della fase 0 e vincolare per contratto la data di cutover prima di attivare i questionari sul nuovo sistema.</w:t>
      </w:r>
    </w:p>
    <w:bookmarkEnd w:id="10"/>
    <w:bookmarkStart w:id="11" w:name="vincoli-e-costi-da-avere-presente"/>
    <w:p>
      <w:pPr>
        <w:pStyle w:val="Heading2"/>
      </w:pPr>
      <w:r>
        <w:t xml:space="preserve">Vincoli e costi da avere presente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Chi ha mandato</w:t>
      </w:r>
      <w:r>
        <w:t xml:space="preserve"> </w:t>
      </w:r>
      <w:r>
        <w:t xml:space="preserve">di rinegoziare e approvare i contratti con i fornitori e con quale budget?</w:t>
      </w:r>
      <w:r>
        <w:t xml:space="preserve"> 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Vincoli tecnici</w:t>
      </w:r>
      <w:r>
        <w:t xml:space="preserve"> </w:t>
      </w:r>
      <w:r>
        <w:t xml:space="preserve">acquisiti o futuri (in base a input sopra):</w:t>
      </w:r>
    </w:p>
    <w:p>
      <w:pPr>
        <w:pStyle w:val="Compact"/>
        <w:numPr>
          <w:ilvl w:val="0"/>
          <w:numId w:val="1007"/>
        </w:numPr>
      </w:pPr>
      <w:r>
        <w:t xml:space="preserve">SIME = fonte di riferimento; EROWEB è DB separato, sync bidirezionale (frequenza?), chiavi riconducibili 1:1.</w:t>
      </w:r>
    </w:p>
    <w:p>
      <w:pPr>
        <w:pStyle w:val="Compact"/>
        <w:numPr>
          <w:ilvl w:val="0"/>
          <w:numId w:val="1007"/>
        </w:numPr>
      </w:pPr>
      <w:r>
        <w:t xml:space="preserve">Al cutover i ruoli si invertono: presidiare chi è master in ogni momento (rischio 5).</w:t>
      </w:r>
    </w:p>
    <w:p>
      <w:pPr>
        <w:pStyle w:val="Compact"/>
        <w:numPr>
          <w:ilvl w:val="0"/>
          <w:numId w:val="1007"/>
        </w:numPr>
      </w:pPr>
      <w:r>
        <w:t xml:space="preserve">Allegati PDF solo in EROWEB: accesso da negoziare lì.</w:t>
      </w:r>
    </w:p>
    <w:p>
      <w:pPr>
        <w:pStyle w:val="Compact"/>
        <w:numPr>
          <w:ilvl w:val="0"/>
          <w:numId w:val="1007"/>
        </w:numPr>
      </w:pPr>
      <w:r>
        <w:t xml:space="preserve">…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Costi da quantificare (da fare):</w:t>
      </w:r>
    </w:p>
    <w:p>
      <w:pPr>
        <w:pStyle w:val="Compact"/>
        <w:numPr>
          <w:ilvl w:val="0"/>
          <w:numId w:val="1009"/>
        </w:numPr>
      </w:pPr>
      <w:r>
        <w:t xml:space="preserve">Canoni annui dei tre sistemi (in base a input sopra) →</w:t>
      </w:r>
      <w:r>
        <w:t xml:space="preserve"> </w:t>
      </w:r>
      <w:r>
        <w:rPr>
          <w:b/>
          <w:bCs/>
        </w:rPr>
        <w:t xml:space="preserve">tabella baseline</w:t>
      </w:r>
      <w:r>
        <w:t xml:space="preserve">: canoni + ore = costo attuale del sistema frammentato.</w:t>
      </w:r>
    </w:p>
    <w:p>
      <w:pPr>
        <w:pStyle w:val="Compact"/>
        <w:numPr>
          <w:ilvl w:val="0"/>
          <w:numId w:val="1009"/>
        </w:numPr>
      </w:pPr>
      <w:r>
        <w:t xml:space="preserve">Interviste Area Erogativa (traccia</w:t>
      </w:r>
      <w:r>
        <w:t xml:space="preserve"> </w:t>
      </w:r>
      <w:r>
        <w:rPr>
          <w:rStyle w:val="VerbatimChar"/>
        </w:rPr>
        <w:t xml:space="preserve">IT content</w:t>
      </w:r>
      <w:r>
        <w:t xml:space="preserve">) →</w:t>
      </w:r>
      <w:r>
        <w:t xml:space="preserve"> </w:t>
      </w:r>
      <w:r>
        <w:rPr>
          <w:b/>
          <w:bCs/>
        </w:rPr>
        <w:t xml:space="preserve">ore/persona per ciclo</w:t>
      </w:r>
      <w:r>
        <w:t xml:space="preserve"> </w:t>
      </w:r>
      <w:r>
        <w:t xml:space="preserve">di rilevazione (doppia immissione, riconciliazione, estrazioni manuali).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Calendario rilevazioni 2026-27-28?</w:t>
      </w:r>
      <w:r>
        <w:t xml:space="preserve"> </w:t>
      </w:r>
      <w:r>
        <w:t xml:space="preserve">→ vincolo di pianificazione: nessuna transizione a cavallo di un ciclo di raccolta.</w:t>
      </w:r>
    </w:p>
    <w:bookmarkEnd w:id="11"/>
    <w:bookmarkEnd w:id="12"/>
    <w:bookmarkStart w:id="20" w:name="fasi-di-lavoro-e-scadenze"/>
    <w:p>
      <w:pPr>
        <w:pStyle w:val="Heading1"/>
      </w:pPr>
      <w:r>
        <w:t xml:space="preserve">Fasi di lavoro e scadenze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0) Ricognizione</w:t>
      </w:r>
      <w:r>
        <w:t xml:space="preserve"> </w:t>
      </w:r>
      <w:r>
        <w:t xml:space="preserve">(settembre 2026)</w:t>
      </w:r>
    </w:p>
    <w:p>
      <w:pPr>
        <w:pStyle w:val="BlockText"/>
      </w:pPr>
      <w:r>
        <w:t xml:space="preserve">Obiettivo: sapere esattamente cosa abbiamo, cosa paghiamo, cosa ci vincola — nessuna decisione, solo raccolta.</w:t>
      </w:r>
    </w:p>
    <w:p>
      <w:pPr>
        <w:pStyle w:val="FirstParagraph"/>
      </w:pPr>
      <w:r>
        <w:t xml:space="preserve">Nota: due binari in parallelo — parte legale/contrattuale (</w:t>
      </w:r>
      <w:r>
        <w:rPr>
          <w:rStyle w:val="VerbatimChar"/>
        </w:rPr>
        <w:t xml:space="preserve">0.a</w:t>
      </w:r>
      <w:r>
        <w:t xml:space="preserve">, Daniela F.) e richieste scritte di accesso ai dati (</w:t>
      </w:r>
      <w:r>
        <w:rPr>
          <w:rStyle w:val="VerbatimChar"/>
        </w:rPr>
        <w:t xml:space="preserve">0.b</w:t>
      </w:r>
      <w:r>
        <w:t xml:space="preserve">, con Alberto).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1) Inventario dati e requisiti</w:t>
      </w:r>
      <w:r>
        <w:t xml:space="preserve"> </w:t>
      </w:r>
      <w:r>
        <w:t xml:space="preserve">(settembre–novembre 2026)</w:t>
      </w:r>
    </w:p>
    <w:p>
      <w:pPr>
        <w:pStyle w:val="BlockText"/>
      </w:pPr>
      <w:r>
        <w:t xml:space="preserve">Obiettivo: arrivare alla</w:t>
      </w:r>
      <w:r>
        <w:t xml:space="preserve"> </w:t>
      </w:r>
      <w:r>
        <w:rPr>
          <w:b/>
          <w:bCs/>
        </w:rPr>
        <w:t xml:space="preserve">matrice dei requisiti</w:t>
      </w:r>
      <w:r>
        <w:t xml:space="preserve"> </w:t>
      </w:r>
      <w:r>
        <w:t xml:space="preserve">must / nice-to-have (</w:t>
      </w:r>
      <w:r>
        <w:rPr>
          <w:rStyle w:val="VerbatimChar"/>
        </w:rPr>
        <w:t xml:space="preserve">1.d</w:t>
      </w:r>
      <w:r>
        <w:t xml:space="preserve">) scritta PRIMA di guardare i prodotti, passando da conteggi e backup (</w:t>
      </w:r>
      <w:r>
        <w:rPr>
          <w:rStyle w:val="VerbatimChar"/>
        </w:rPr>
        <w:t xml:space="preserve">1.a</w:t>
      </w:r>
      <w:r>
        <w:t xml:space="preserve">), matrice di sovrapposizione (</w:t>
      </w:r>
      <w:r>
        <w:rPr>
          <w:rStyle w:val="VerbatimChar"/>
        </w:rPr>
        <w:t xml:space="preserve">1.b</w:t>
      </w:r>
      <w:r>
        <w:t xml:space="preserve">), test raccordo chiavi (</w:t>
      </w:r>
      <w:r>
        <w:rPr>
          <w:rStyle w:val="VerbatimChar"/>
        </w:rPr>
        <w:t xml:space="preserve">1.c</w:t>
      </w:r>
      <w:r>
        <w:t xml:space="preserve">) e contenuti del questionario unificato (</w:t>
      </w:r>
      <w:r>
        <w:rPr>
          <w:rStyle w:val="VerbatimChar"/>
        </w:rPr>
        <w:t xml:space="preserve">1.e</w:t>
      </w:r>
      <w:r>
        <w:t xml:space="preserve">).</w:t>
      </w:r>
    </w:p>
    <w:p>
      <w:pPr>
        <w:pStyle w:val="FirstParagraph"/>
      </w:pPr>
      <w:r>
        <w:t xml:space="preserve">Nota: requisiti condivisi con l’Area Erogativa e validati da Dona.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Requisiti</w:t>
            </w:r>
            <w:r>
              <w:t xml:space="preserve"> </w:t>
            </w:r>
            <w:r>
              <w:rPr>
                <w:i/>
                <w:iCs/>
              </w:rPr>
              <w:t xml:space="preserve">must</w:t>
            </w:r>
            <w:r>
              <w:t xml:space="preserve"> </w:t>
            </w:r>
            <w:r>
              <w:t xml:space="preserve">già chiari (da integrare con quanto emerge dalla Fase 0):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Accesso diretto ai dati</w:t>
            </w:r>
            <w:r>
              <w:t xml:space="preserve">, nell’ordine di preferenza già definito nel foglio</w:t>
            </w:r>
            <w:r>
              <w:t xml:space="preserve"> </w:t>
            </w:r>
            <w:r>
              <w:rPr>
                <w:rStyle w:val="VerbatimChar"/>
              </w:rPr>
              <w:t xml:space="preserve">definizioni</w:t>
            </w:r>
            <w:r>
              <w:t xml:space="preserve">: API REST documentate &gt; DB read-only &gt; dump programmati. Il solo accesso via interfaccia applicativa è squalificante.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Chiave univoca coerente con SIME</w:t>
            </w:r>
            <w:r>
              <w:t xml:space="preserve"> </w:t>
            </w:r>
            <w:r>
              <w:t xml:space="preserve">(richiedente + richiesta): i questionari devono agganciarsi automaticamente alle pratiche, senza riconciliazione manuale.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Export in formati aperti</w:t>
            </w:r>
            <w:r>
              <w:t xml:space="preserve"> </w:t>
            </w:r>
            <w:r>
              <w:t xml:space="preserve">(CSV) senza moduli a pagamento; clausola contrattuale di restituzione integrale dei dati a fine rapporto.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Hosting UE / GDPR</w:t>
            </w:r>
            <w:r>
              <w:t xml:space="preserve">, autenticazione seria, ruoli e permessi per area.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Attivazione automatica dei questionari dalle pratiche (riduzione del lavoro ripetitivo ad ogni lancio — è il beneficio principale per l’Area Erogativa).</w:t>
            </w:r>
          </w:p>
          <w:p>
            <w:pPr>
              <w:pStyle w:val="FirstParagraph"/>
            </w:pPr>
            <w:r>
              <w:t xml:space="preserve">Test di compatibilità con il modo di lavorare dell’Osservatorio (da mettere per iscritto nella RFI):</w:t>
            </w:r>
          </w:p>
          <w:p>
            <w:pPr>
              <w:pStyle w:val="BlockText"/>
            </w:pPr>
            <w:r>
              <w:t xml:space="preserve">Posso collegarmi da R (</w:t>
            </w:r>
            <w:r>
              <w:rPr>
                <w:rStyle w:val="VerbatimChar"/>
              </w:rPr>
              <w:t xml:space="preserve">httr2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DBI</w:t>
            </w:r>
            <w:r>
              <w:t xml:space="preserve">) e rigenerare un report Quarto</w:t>
            </w:r>
            <w:r>
              <w:t xml:space="preserve"> </w:t>
            </w:r>
            <w:r>
              <w:rPr>
                <w:b/>
                <w:bCs/>
              </w:rPr>
              <w:t xml:space="preserve">senza un solo passaggio manuale</w:t>
            </w:r>
            <w:r>
              <w:t xml:space="preserve">? Se no, il sistema non è idoneo, qualunque sia la demo.</w:t>
            </w:r>
          </w:p>
          <w:p/>
        </w:tc>
      </w:tr>
    </w:tbl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2) Opzioni Mkt</w:t>
      </w:r>
      <w:r>
        <w:t xml:space="preserve"> </w:t>
      </w:r>
      <w:r>
        <w:t xml:space="preserve">(novembre 2026 – gennaio 2027)</w:t>
      </w:r>
    </w:p>
    <w:p>
      <w:pPr>
        <w:pStyle w:val="BlockText"/>
      </w:pPr>
      <w:r>
        <w:t xml:space="preserve">Obiettivo: scremare il mercato con la</w:t>
      </w:r>
      <w:r>
        <w:t xml:space="preserve"> </w:t>
      </w:r>
      <w:r>
        <w:rPr>
          <w:b/>
          <w:bCs/>
        </w:rPr>
        <w:t xml:space="preserve">RFI</w:t>
      </w:r>
      <w:r>
        <w:t xml:space="preserve"> </w:t>
      </w:r>
      <w:r>
        <w:t xml:space="preserve">(</w:t>
      </w:r>
      <w:r>
        <w:rPr>
          <w:rStyle w:val="VerbatimChar"/>
        </w:rPr>
        <w:t xml:space="preserve">2.a</w:t>
      </w:r>
      <w:r>
        <w:t xml:space="preserve">) e arrivare alla</w:t>
      </w:r>
      <w:r>
        <w:t xml:space="preserve"> </w:t>
      </w:r>
      <w:r>
        <w:rPr>
          <w:b/>
          <w:bCs/>
        </w:rPr>
        <w:t xml:space="preserve">scelta del candidato</w:t>
      </w:r>
      <w:r>
        <w:t xml:space="preserve"> </w:t>
      </w:r>
      <w:r>
        <w:t xml:space="preserve">(</w:t>
      </w:r>
      <w:r>
        <w:rPr>
          <w:rStyle w:val="VerbatimChar"/>
        </w:rPr>
        <w:t xml:space="preserve">2.c</w:t>
      </w:r>
      <w:r>
        <w:t xml:space="preserve">), col supporto delle referenze tra pari (</w:t>
      </w:r>
      <w:r>
        <w:rPr>
          <w:rStyle w:val="VerbatimChar"/>
        </w:rPr>
        <w:t xml:space="preserve">2.b</w:t>
      </w:r>
      <w:r>
        <w:t xml:space="preserve">).</w:t>
      </w:r>
    </w:p>
    <w:p>
      <w:pPr>
        <w:pStyle w:val="FirstParagraph"/>
      </w:pPr>
      <w:r>
        <w:t xml:space="preserve">Nota: tra i candidati anche l’opzione EROWEB e l’opzione</w:t>
      </w:r>
      <w:r>
        <w:t xml:space="preserve"> </w:t>
      </w:r>
      <w:r>
        <w:t xml:space="preserve">“componibile”</w:t>
      </w:r>
      <w:r>
        <w:t xml:space="preserve"> </w:t>
      </w:r>
      <w:r>
        <w:t xml:space="preserve">come termine di paragone; le demo si fanno con i nostri dati (dump della fase 0).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RFI leggera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Request for Information</w:t>
            </w:r>
            <w:r>
              <w:t xml:space="preserve">: richiesta scritta di informazioni preliminari, non vincolante, per scremare i candidati) — 2 pagine a 3–5 fornitori: in gran parte le colonne del foglio</w:t>
            </w:r>
            <w:r>
              <w:t xml:space="preserve"> </w:t>
            </w:r>
            <w:r>
              <w:rPr>
                <w:rStyle w:val="VerbatimChar"/>
              </w:rPr>
              <w:t xml:space="preserve">IT arch</w:t>
            </w:r>
            <w:r>
              <w:t xml:space="preserve"> </w:t>
            </w:r>
            <w:r>
              <w:t xml:space="preserve">(modalità di accesso, dove vivono i dati, chi li gestisce) più i requisiti della Fase 1.</w:t>
            </w:r>
          </w:p>
          <w:p>
            <w:pPr>
              <w:pStyle w:val="Compact"/>
              <w:numPr>
                <w:ilvl w:val="1"/>
                <w:numId w:val="1015"/>
              </w:numPr>
            </w:pPr>
            <w:r>
              <w:rPr>
                <w:b/>
                <w:bCs/>
              </w:rPr>
              <w:t xml:space="preserve">Opzione da valutare esplicitamente: costruire il questionario armonizzato DENTRO EROWEB.</w:t>
            </w:r>
            <w:r>
              <w:t xml:space="preserve"> </w:t>
            </w:r>
            <w:r>
              <w:t xml:space="preserve">Vantaggi: aggancio nativo alle pratiche (integrazione gratis per costruzione), fonte master unica, un fornitore in meno da coordinare. Svantaggi: ancora più lock-in con Struttura Informatica (che già custodisce il gestionale), qualità del modulo questionari tutta da verificare, e l’accesso diretto ai dati andrebbe comunque negoziato. Va trattata come un candidato alla pari: stessa matrice requisiti, stesso test di riproducibilità — niente sconti per la comodità dell’integrazione.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Referenze tra pari</w:t>
            </w:r>
            <w:r>
              <w:t xml:space="preserve">: sentire 2–3 fondazioni simili (rete Assifero, ACRI) su cosa usano per il monitoraggio degli enti e cosa rimpiangono.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Opzione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“componibile”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come termine di paragone</w:t>
            </w:r>
            <w:r>
              <w:t xml:space="preserve">: strumento questionari standard (es. LimeSurvey, KoboToolbox) + PostgreSQL + pipeline R/Quarto. Anche solo per rendere visibile quanto si paga la comodità</w:t>
            </w:r>
            <w:r>
              <w:t xml:space="preserve"> </w:t>
            </w:r>
            <w:r>
              <w:t xml:space="preserve">“chiavi in mano”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Demo con i nostri dati</w:t>
            </w:r>
            <w:r>
              <w:t xml:space="preserve">, non con quelli del fornitore: usare i dump integrali già acquisiti in Fase 0 per verificare il test di riproducibilità di persona sui candidati.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Negoziato parallelo con Struttura Informatica</w:t>
            </w:r>
            <w:r>
              <w:t xml:space="preserve">: porre l’accesso dati (API o dump programmati) come condizione del passaggio a EROWEB. La leva negoziale è massima ora, prima di firmare il passaggio.</w:t>
            </w:r>
          </w:p>
          <w:p/>
        </w:tc>
      </w:tr>
    </w:tbl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3) Decis + Pilota</w:t>
      </w:r>
      <w:r>
        <w:t xml:space="preserve"> </w:t>
      </w:r>
      <w:r>
        <w:t xml:space="preserve">(febbraio–giugno 2027)</w:t>
      </w:r>
    </w:p>
    <w:p>
      <w:pPr>
        <w:pStyle w:val="BlockText"/>
      </w:pPr>
      <w:r>
        <w:t xml:space="preserve">Obiettivo: verificare il candidato con un</w:t>
      </w:r>
      <w:r>
        <w:t xml:space="preserve"> </w:t>
      </w:r>
      <w:r>
        <w:rPr>
          <w:b/>
          <w:bCs/>
        </w:rPr>
        <w:t xml:space="preserve">pilota</w:t>
      </w:r>
      <w:r>
        <w:t xml:space="preserve"> </w:t>
      </w:r>
      <w:r>
        <w:t xml:space="preserve">prima del contratto definitivo (</w:t>
      </w:r>
      <w:r>
        <w:rPr>
          <w:rStyle w:val="VerbatimChar"/>
        </w:rPr>
        <w:t xml:space="preserve">3.a</w:t>
      </w:r>
      <w:r>
        <w:t xml:space="preserve">), quantificare costi e benefici (</w:t>
      </w:r>
      <w:r>
        <w:rPr>
          <w:rStyle w:val="VerbatimChar"/>
        </w:rPr>
        <w:t xml:space="preserve">3.b</w:t>
      </w:r>
      <w:r>
        <w:t xml:space="preserve">) e rinegoziare le</w:t>
      </w:r>
      <w:r>
        <w:t xml:space="preserve"> </w:t>
      </w:r>
      <w:r>
        <w:rPr>
          <w:b/>
          <w:bCs/>
        </w:rPr>
        <w:t xml:space="preserve">condizioni contrattuali</w:t>
      </w:r>
      <w:r>
        <w:t xml:space="preserve"> </w:t>
      </w:r>
      <w:r>
        <w:t xml:space="preserve">con i fornitori (</w:t>
      </w:r>
      <w:r>
        <w:rPr>
          <w:rStyle w:val="VerbatimChar"/>
        </w:rPr>
        <w:t xml:space="preserve">3.c</w:t>
      </w:r>
      <w:r>
        <w:t xml:space="preserve">).</w:t>
      </w:r>
    </w:p>
    <w:p>
      <w:pPr>
        <w:pStyle w:val="FirstParagraph"/>
      </w:pPr>
      <w:r>
        <w:t xml:space="preserve">Nota: pilota su un solo questionario e un solo ciclo; il sistema vecchio resta acceso in parallelo.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Pilota</w:t>
            </w:r>
            <w:r>
              <w:t xml:space="preserve"> </w:t>
            </w:r>
            <w:r>
              <w:rPr>
                <w:b/>
                <w:bCs/>
              </w:rPr>
              <w:t xml:space="preserve">prima del contratto definitivo</w:t>
            </w:r>
            <w:r>
              <w:t xml:space="preserve"> </w:t>
            </w:r>
            <w:r>
              <w:t xml:space="preserve">(prassi normale:</w:t>
            </w:r>
            <w:r>
              <w:t xml:space="preserve"> </w:t>
            </w:r>
            <w:r>
              <w:rPr>
                <w:i/>
                <w:iCs/>
              </w:rPr>
              <w:t xml:space="preserve">proof of concept</w:t>
            </w:r>
            <w:r>
              <w:t xml:space="preserve"> </w:t>
            </w:r>
            <w:r>
              <w:t xml:space="preserve">gratuito o contratto pilota limitato di 3-6 mesi con uscita libera; chi lo rifiuta si auto-squalifica) su</w:t>
            </w:r>
            <w:r>
              <w:t xml:space="preserve"> </w:t>
            </w:r>
            <w:r>
              <w:rPr>
                <w:b/>
                <w:bCs/>
              </w:rPr>
              <w:t xml:space="preserve">un solo questionario e un solo ciclo</w:t>
            </w:r>
            <w:r>
              <w:t xml:space="preserve"> </w:t>
            </w:r>
            <w:r>
              <w:t xml:space="preserve">con il candidato migliore: dalla pratica SIME all’invio, alla raccolta, al report Quarto generato automaticamente. Il sistema vecchio resta acceso su quel ciclo.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Confronto pilota vs. processo attuale: ore impiegate, errori, qualità del dato.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Documento di sintesi costi/benefici con i numeri veri (baseline fase 0 vs. pilota) e proposta di adozione.</w:t>
            </w:r>
          </w:p>
          <w:p/>
        </w:tc>
      </w:tr>
    </w:tbl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4) Migrazione</w:t>
      </w:r>
      <w:r>
        <w:t xml:space="preserve"> </w:t>
      </w:r>
      <w:r>
        <w:t xml:space="preserve">(luglio–dicembre 2027)</w:t>
      </w:r>
    </w:p>
    <w:p>
      <w:pPr>
        <w:pStyle w:val="BlockText"/>
      </w:pPr>
      <w:r>
        <w:t xml:space="preserve">Obiettivo: nuovo sistema configurato e lanciato (</w:t>
      </w:r>
      <w:r>
        <w:rPr>
          <w:rStyle w:val="VerbatimChar"/>
        </w:rPr>
        <w:t xml:space="preserve">4.a</w:t>
      </w:r>
      <w:r>
        <w:t xml:space="preserve">); storico 2024–2026 migrato sul sistema scelto e riconciliato (</w:t>
      </w:r>
      <w:r>
        <w:rPr>
          <w:rStyle w:val="VerbatimChar"/>
        </w:rPr>
        <w:t xml:space="preserve">4.b</w:t>
      </w:r>
      <w:r>
        <w:t xml:space="preserve">).</w:t>
      </w:r>
    </w:p>
    <w:p>
      <w:pPr>
        <w:pStyle w:val="FirstParagraph"/>
      </w:pPr>
      <w:r>
        <w:t xml:space="preserve">Nota: periodo di doppio esercizio controllato con i sistemi uscenti — quanto teniamo vivi MO.V.O.T e OIS in parallelo, chi presidia cosa (fornitore + Alberto).</w:t>
      </w:r>
    </w:p>
    <w:bookmarkEnd w:id="20"/>
    <w:bookmarkStart w:id="27" w:name="cronoprogramma-fasi-e-attività"/>
    <w:p>
      <w:pPr>
        <w:pStyle w:val="Heading1"/>
      </w:pPr>
      <w:r>
        <w:t xml:space="preserve">Cronoprogramma fasi e attività</w:t>
      </w:r>
    </w:p>
    <w:p>
      <w:pPr>
        <w:pStyle w:val="FirstParagraph"/>
      </w:pPr>
      <w:r>
        <w:t xml:space="preserve">Fonte unica del cronoprogramma: la tabella</w:t>
      </w:r>
      <w:r>
        <w:t xml:space="preserve"> </w:t>
      </w:r>
      <w:r>
        <w:rPr>
          <w:rStyle w:val="VerbatimChar"/>
        </w:rPr>
        <w:t xml:space="preserve">gantt_prep</w:t>
      </w:r>
      <w:r>
        <w:t xml:space="preserve"> </w:t>
      </w:r>
      <w:r>
        <w:t xml:space="preserve">qui sotto (date e responsabili si aggiornano lì; il grafico e l’xlsx condiviso si rigenerano al render). Vincolo da verificare: nessuna transizione a cavallo di un ciclo di rilevazione.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📁 Il file</w:t>
            </w:r>
            <w:r>
              <w:t xml:space="preserve"> </w:t>
            </w:r>
            <w:r>
              <w:rPr>
                <w:rStyle w:val="VerbatimChar"/>
              </w:rPr>
              <w:t xml:space="preserve">piano_condiviso.xlsx</w:t>
            </w:r>
            <w:r>
              <w:t xml:space="preserve"> </w:t>
            </w:r>
            <w:r>
              <w:t xml:space="preserve">(task + gantt) è nella cartella condivisa OneDrive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data_governance</w:t>
            </w:r>
            <w:r>
              <w:t xml:space="preserve">:</w:t>
            </w:r>
            <w:r>
              <w:t xml:space="preserve"> </w:t>
            </w:r>
            <w:hyperlink r:id="rId23">
              <w:r>
                <w:rPr>
                  <w:rStyle w:val="Hyperlink"/>
                  <w:b/>
                  <w:bCs/>
                </w:rPr>
                <w:t xml:space="preserve">apri la cartella</w:t>
              </w:r>
            </w:hyperlink>
          </w:p>
          <w:p/>
        </w:tc>
      </w:tr>
    </w:tbl>
    <w:p>
      <w:pPr>
        <w:pStyle w:val="BodyText"/>
      </w:pPr>
      <w:r>
        <w:drawing>
          <wp:inline>
            <wp:extent cx="5334000" cy="48006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02_piano_migrazione_dati_files/figure-docx/gantt_plot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364" w:hRule="auto"/>
          <w:tblHeader/>
        </w:trPr>
        <w:tc>
          <w:tcPr>
            <w:gridSpan w:val="8"/>
            <w:tcBorders>
              <w:bottom w:val="none" w:sz="0" w:space="0" w:color="A6A6A6"/>
              <w:top w:val="none" w:sz="0" w:space="0" w:color="A6A6A6"/>
              <w:left w:val="none" w:sz="0" w:space="0" w:color="A6A6A6"/>
              <w:right w:val="none" w:sz="0" w:space="0" w:color="A6A6A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Roboto Condensed" w:cs="Roboto Condensed"/>
                <w:i w:val="false"/>
                <w:b w:val="true"/>
                <w:u w:val="none"/>
                <w:strike w:val="false"/>
                <w:sz w:val="26"/>
                <w:szCs w:val="26"/>
                <w:color w:val="333333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Roboto Condensed" w:cs="Roboto Condensed"/>
                <w:i w:val="false"/>
                <w:b w:val="true"/>
                <w:u w:val="none"/>
                <w:strike w:val="false"/>
                <w:sz w:val="26"/>
                <w:szCs w:val="26"/>
                <w:color w:val="333333"/>
              </w:rPr>
              <w:t xml:space="preserve">Cronoprogramma — dettaglio task</w:t>
            </w:r>
          </w:p>
        </w:tc>
      </w:tr>
      <w:tr>
        <w:trPr>
          <w:cantSplit/>
          <w:trHeight w:val="364" w:hRule="auto"/>
          <w:tblHeader/>
        </w:trPr>
        <w:tc>
          <w:tcPr>
            <w:tcBorders>
              <w:bottom w:val="single" w:sz="4" w:space="0" w:color="A6A6A6"/>
              <w:top w:val="none" w:sz="0" w:space="0" w:color="A6A6A6"/>
              <w:left w:val="single" w:sz="4" w:space="0" w:color="A6A6A6"/>
              <w:right w:val="single" w:sz="4" w:space="0" w:color="A6A6A6"/>
            </w:tcBorders>
            <w:shd w:val="clear" w:color="auto" w:fill="F7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Fase</w:t>
            </w:r>
          </w:p>
        </w:tc>
        <w:tc>
          <w:tcPr>
            <w:tcBorders>
              <w:bottom w:val="single" w:sz="4" w:space="0" w:color="A6A6A6"/>
              <w:top w:val="none" w:sz="0" w:space="0" w:color="A6A6A6"/>
              <w:left w:val="single" w:sz="4" w:space="0" w:color="A6A6A6"/>
              <w:right w:val="single" w:sz="4" w:space="0" w:color="A6A6A6"/>
            </w:tcBorders>
            <w:shd w:val="clear" w:color="auto" w:fill="F7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Cod</w:t>
            </w:r>
          </w:p>
        </w:tc>
        <w:tc>
          <w:tcPr>
            <w:tcBorders>
              <w:bottom w:val="single" w:sz="4" w:space="0" w:color="A6A6A6"/>
              <w:top w:val="none" w:sz="0" w:space="0" w:color="A6A6A6"/>
              <w:left w:val="single" w:sz="4" w:space="0" w:color="A6A6A6"/>
              <w:right w:val="single" w:sz="4" w:space="0" w:color="A6A6A6"/>
            </w:tcBorders>
            <w:shd w:val="clear" w:color="auto" w:fill="F7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Attività</w:t>
            </w:r>
          </w:p>
        </w:tc>
        <w:tc>
          <w:tcPr>
            <w:tcBorders>
              <w:bottom w:val="single" w:sz="4" w:space="0" w:color="A6A6A6"/>
              <w:top w:val="none" w:sz="0" w:space="0" w:color="A6A6A6"/>
              <w:left w:val="single" w:sz="4" w:space="0" w:color="A6A6A6"/>
              <w:right w:val="single" w:sz="4" w:space="0" w:color="A6A6A6"/>
            </w:tcBorders>
            <w:shd w:val="clear" w:color="auto" w:fill="F7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Chi</w:t>
            </w:r>
          </w:p>
        </w:tc>
        <w:tc>
          <w:tcPr>
            <w:tcBorders>
              <w:bottom w:val="single" w:sz="4" w:space="0" w:color="A6A6A6"/>
              <w:top w:val="none" w:sz="0" w:space="0" w:color="A6A6A6"/>
              <w:left w:val="single" w:sz="4" w:space="0" w:color="A6A6A6"/>
              <w:right w:val="single" w:sz="4" w:space="0" w:color="A6A6A6"/>
            </w:tcBorders>
            <w:shd w:val="clear" w:color="auto" w:fill="F7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Inizio</w:t>
            </w:r>
          </w:p>
        </w:tc>
        <w:tc>
          <w:tcPr>
            <w:tcBorders>
              <w:bottom w:val="single" w:sz="4" w:space="0" w:color="A6A6A6"/>
              <w:top w:val="none" w:sz="0" w:space="0" w:color="A6A6A6"/>
              <w:left w:val="single" w:sz="4" w:space="0" w:color="A6A6A6"/>
              <w:right w:val="single" w:sz="4" w:space="0" w:color="A6A6A6"/>
            </w:tcBorders>
            <w:shd w:val="clear" w:color="auto" w:fill="F7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Fine</w:t>
            </w:r>
          </w:p>
        </w:tc>
        <w:tc>
          <w:tcPr>
            <w:tcBorders>
              <w:bottom w:val="single" w:sz="4" w:space="0" w:color="A6A6A6"/>
              <w:top w:val="none" w:sz="0" w:space="0" w:color="A6A6A6"/>
              <w:left w:val="single" w:sz="4" w:space="0" w:color="A6A6A6"/>
              <w:right w:val="single" w:sz="4" w:space="0" w:color="A6A6A6"/>
            </w:tcBorders>
            <w:shd w:val="clear" w:color="auto" w:fill="F7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Descrizione</w:t>
            </w:r>
          </w:p>
        </w:tc>
        <w:tc>
          <w:tcPr>
            <w:tcBorders>
              <w:bottom w:val="single" w:sz="4" w:space="0" w:color="A6A6A6"/>
              <w:top w:val="none" w:sz="0" w:space="0" w:color="A6A6A6"/>
              <w:left w:val="single" w:sz="4" w:space="0" w:color="A6A6A6"/>
              <w:right w:val="single" w:sz="4" w:space="0" w:color="A6A6A6"/>
            </w:tcBorders>
            <w:shd w:val="clear" w:color="auto" w:fill="F7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Output</w:t>
            </w:r>
          </w:p>
        </w:tc>
      </w:tr>
      <w:tr>
        <w:trPr>
          <w:cantSplit/>
          <w:trHeight w:val="383" w:hRule="auto"/>
        </w:trPr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0) Ricognizione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Contratti e vincoli (parte legale) e flussi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Daniela F. + (AE?)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2026-09-01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2026-09-18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Recuperare i contratti OIS e Infor e vedere informazioni chiave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Quadro con key info da contratti: scadenze, preavvisi, penali, costi, titolarità dati, PoC, GDPR</w:t>
            </w:r>
          </w:p>
        </w:tc>
      </w:tr>
      <w:tr>
        <w:trPr>
          <w:cantSplit/>
          <w:trHeight w:val="383" w:hRule="auto"/>
        </w:trPr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0.b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Richiesta accesso DIRETTO dati integrali dal 2024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Luisa + Alberto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2026-09-01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2026-09-18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Richieste i) Infor, OIS: accesso dati dal 2024, dump integrali con metadati/ chiavi &amp; ii) Struttura Informatica x Eroweb?: il N. di allegati PDF per pratica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Dump integrali + note tecniche + regola raccordo chiavi + risposte su cutover</w:t>
            </w:r>
          </w:p>
        </w:tc>
      </w:tr>
      <w:tr>
        <w:trPr>
          <w:cantSplit/>
          <w:trHeight w:val="383" w:hRule="auto"/>
        </w:trPr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1) Inventario dati e requisiti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Conteggi (tabelle + PDF) + backup + archivio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Luisa + AE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2026-09-18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2026-10-16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Occorre sapere per attività 2024-oggi; questionari (OIS e MOVOT), e entità attività erogativa (SIME, Eroweb): conteggi dati tabellari e allegati PDF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Tabella riepilogo numerica + backup datato</w:t>
            </w:r>
          </w:p>
        </w:tc>
      </w:tr>
      <w:tr>
        <w:trPr>
          <w:cantSplit/>
          <w:trHeight w:val="383" w:hRule="auto"/>
        </w:trPr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1.b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Matrice overlap questionari e proposta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Luisa + AE + IT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2026-10-05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2026-11-16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Confronto dettagliato 2 questionari OIS e MOVOT &amp; proposta di questionario unificato: core + moduli extra, tempistiche agganciate al singolo progetto, architettura dati (chiavi, formati, metadati, archivio)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Matrice di sovrapposizione questionari e proposta di questionario unificato</w:t>
            </w:r>
          </w:p>
        </w:tc>
      </w:tr>
      <w:tr>
        <w:trPr>
          <w:cantSplit/>
          <w:trHeight w:val="383" w:hRule="auto"/>
        </w:trPr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1.c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Lista di requisiti x fornitori (di contenuto, flusso, archivio)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Luisa + AE + (Dona)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2026-11-01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2026-11-20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Definire i requisiti (x Osservatorio, Area Erogativa, e potenzialmente val impatto) must / nice-to-have, da concordare con Area Erogativa e validare con Dona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Lista requisiti must/nice-to-have validata</w:t>
            </w:r>
          </w:p>
        </w:tc>
      </w:tr>
      <w:tr>
        <w:trPr>
          <w:cantSplit/>
          <w:trHeight w:val="383" w:hRule="auto"/>
        </w:trPr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2) Opzioni Mkt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RFI (Request for Information) a 3-5 candidati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Luisa + Alberto + AE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2026-11-23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2026-12-18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base a requisiti sopra, richiesta scritta di informazioni preliminari (non vincolante) a 3-5 fornitori, inclusa opzione EROWEB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RFI inviata + risposte raccolte</w:t>
            </w:r>
          </w:p>
        </w:tc>
      </w:tr>
      <w:tr>
        <w:trPr>
          <w:cantSplit/>
          <w:trHeight w:val="383" w:hRule="auto"/>
        </w:trPr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2.b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Referenze pari + valutazione risposte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Luisa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2026-11-23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2026-12-31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Sentire 2-3 fondazioni simili; valutare le risposte RFI con la matrice requisiti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Griglia di valutazione compilata</w:t>
            </w:r>
          </w:p>
        </w:tc>
      </w:tr>
      <w:tr>
        <w:trPr>
          <w:cantSplit/>
          <w:trHeight w:val="383" w:hRule="auto"/>
        </w:trPr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2.c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Scelta del candidato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(Concordata)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2027-01-09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2027-01-29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Decisione sul candidato migliore sulla carta, da verificare col pilota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Decisione documentata</w:t>
            </w:r>
          </w:p>
        </w:tc>
      </w:tr>
      <w:tr>
        <w:trPr>
          <w:cantSplit/>
          <w:trHeight w:val="383" w:hRule="auto"/>
        </w:trPr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3) Decis + Pilota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Pilota (1 questionario, 1 ciclo)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Luisa + AE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2027-02-01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2027-04-30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Proof of concept prima del contratto definitivo: 1 questionario, 1 ciclo reale, test di riproducibilità da R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Pilota completato + test riproducibilità superato</w:t>
            </w:r>
          </w:p>
        </w:tc>
      </w:tr>
      <w:tr>
        <w:trPr>
          <w:cantSplit/>
          <w:trHeight w:val="383" w:hRule="auto"/>
        </w:trPr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3.b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Sintesi costi/benefici e proposta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Luisa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2027-05-01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2027-05-31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Costi/benefici con numeri veri (baseline Ricognizione vs pilota); proposta di adozione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Documento costi/benefici con proposta</w:t>
            </w:r>
          </w:p>
        </w:tc>
      </w:tr>
      <w:tr>
        <w:trPr>
          <w:cantSplit/>
          <w:trHeight w:val="383" w:hRule="auto"/>
        </w:trPr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3.c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Rinegoziazione condizioni contrattuali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Dona + Luisa + AE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2027-05-01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2027-06-30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 fa cosa con i fornitori: accesso dati, interpretazione, condizioni di uscita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Documento con condizioni contrattuali</w:t>
            </w:r>
          </w:p>
        </w:tc>
      </w:tr>
      <w:tr>
        <w:trPr>
          <w:cantSplit/>
          <w:trHeight w:val="383" w:hRule="auto"/>
        </w:trPr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4) Migrazione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Configurazione e lancio nuovo sistema questionari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Fornitore + Luisa + AE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2027-07-01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2027-09-30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Setup del questionario unificato agganciato alle pratiche, formazione colleghi, collaudo, primo lancio reale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Sistema configurato + primo ciclo lanciato</w:t>
            </w:r>
          </w:p>
        </w:tc>
      </w:tr>
      <w:tr>
        <w:trPr>
          <w:cantSplit/>
          <w:trHeight w:val="383" w:hRule="auto"/>
        </w:trPr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4.b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Migrazione storico + doppio esercizio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Fornitore + Alberto + Luisa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2027-09-01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2027-12-31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Migrazione dello storico 2024-2026; doppio esercizio controllato con i sistemi uscenti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Storico migrato + riconciliazione verificata</w:t>
            </w:r>
          </w:p>
        </w:tc>
      </w:tr>
    </w:tbl>
    <w:bookmarkEnd w:id="27"/>
    <w:bookmarkStart w:id="28" w:name="persone-esterne"/>
    <w:p>
      <w:pPr>
        <w:pStyle w:val="Heading1"/>
      </w:pPr>
      <w:r>
        <w:t xml:space="preserve">Persone esterne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360" w:hRule="auto"/>
          <w:tblHeader/>
        </w:trPr>
        <w:tc>
          <w:tcPr>
            <w:gridSpan w:val="2"/>
            <w:tcBorders>
              <w:bottom w:val="none" w:sz="0" w:space="0" w:color="A6A6A6"/>
              <w:top w:val="none" w:sz="0" w:space="0" w:color="A6A6A6"/>
              <w:left w:val="none" w:sz="0" w:space="0" w:color="A6A6A6"/>
              <w:right w:val="none" w:sz="0" w:space="0" w:color="A6A6A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Roboto Condensed" w:eastAsia="Roboto Condensed" w:cs="Roboto Condensed"/>
                <w:i w:val="false"/>
                <w:b w:val="true"/>
                <w:u w:val="none"/>
                <w:strike w:val="false"/>
                <w:sz w:val="26"/>
                <w:szCs w:val="26"/>
                <w:color w:val="333333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Roboto Condensed" w:cs="Roboto Condensed"/>
                <w:i w:val="false"/>
                <w:b w:val="true"/>
                <w:u w:val="none"/>
                <w:strike w:val="false"/>
                <w:sz w:val="26"/>
                <w:szCs w:val="26"/>
                <w:color w:val="333333"/>
              </w:rPr>
              <w:t xml:space="preserve">Persone da coinvolgere</w:t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4" w:space="0" w:color="A6A6A6"/>
              <w:top w:val="none" w:sz="0" w:space="0" w:color="A6A6A6"/>
              <w:left w:val="single" w:sz="4" w:space="0" w:color="A6A6A6"/>
              <w:right w:val="single" w:sz="4" w:space="0" w:color="A6A6A6"/>
            </w:tcBorders>
            <w:shd w:val="clear" w:color="auto" w:fill="F7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Chi</w:t>
            </w:r>
          </w:p>
        </w:tc>
        <w:tc>
          <w:tcPr>
            <w:tcBorders>
              <w:bottom w:val="single" w:sz="4" w:space="0" w:color="A6A6A6"/>
              <w:top w:val="none" w:sz="0" w:space="0" w:color="A6A6A6"/>
              <w:left w:val="single" w:sz="4" w:space="0" w:color="A6A6A6"/>
              <w:right w:val="single" w:sz="4" w:space="0" w:color="A6A6A6"/>
            </w:tcBorders>
            <w:shd w:val="clear" w:color="auto" w:fill="F7F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Ruolo nel piano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Alessandro Francini (Struttura Informatica, tecnico)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Chiavi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struttura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dati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SIME;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fattibilità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aggancio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questionari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EROWEB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Silvia Mucci (Struttura Informatica, commerciale)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Condizioni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EROWEB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accesso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dati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Riccardo Spani/ Luca Tacconi (Open Impact, ricercatori)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Gestione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Impcat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Manager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Impact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Call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Diego De Cao (Open Impact, CTO)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Schema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dati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OIS,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export,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chiavi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Marco Pelizzi, Infor (MO.V.O.T)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Perimetro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dell’accesso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diretto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esistente;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export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2-3 fondazioni pari (Assifero/ACRI)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8F8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Referenze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sistemi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Roboto Condensed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uso</w:t>
            </w:r>
          </w:p>
        </w:tc>
      </w:tr>
    </w:tbl>
    <w:bookmarkEnd w:id="28"/>
    <w:bookmarkStart w:id="30" w:name="annex"/>
    <w:p>
      <w:pPr>
        <w:pStyle w:val="Heading1"/>
      </w:pPr>
      <w:r>
        <w:t xml:space="preserve">ANNEX</w:t>
      </w:r>
    </w:p>
    <w:bookmarkStart w:id="29" w:name="calendario-rilevazioni-ois"/>
    <w:p>
      <w:pPr>
        <w:pStyle w:val="Heading3"/>
      </w:pPr>
      <w:r>
        <w:t xml:space="preserve">🟡 2) Calendario rilevazioni OIS</w:t>
      </w:r>
    </w:p>
    <w:bookmarkEnd w:id="29"/>
    <w:bookmarkEnd w:id="30"/>
    <w:bookmarkStart w:id="31" w:name="riferimenti"/>
    <w:p>
      <w:pPr>
        <w:pStyle w:val="Heading1"/>
      </w:pPr>
      <w:r>
        <w:t xml:space="preserve">Riferimenti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Posizionamento Osservatorio Dati</w:t>
      </w:r>
      <w:r>
        <w:t xml:space="preserve"> </w:t>
      </w:r>
      <w:r>
        <w:t xml:space="preserve">- Input per DPP 2027 e per Appendice al Piano Strategico sul periodo 2028-29, 25 luglio 2026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Proposte_posizionamento_Osservatorio_25lug2026.pdf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Mappatura dei sistemi informativi</w:t>
      </w:r>
      <w:r>
        <w:t xml:space="preserve"> </w:t>
      </w:r>
      <w:r>
        <w:t xml:space="preserve">- file Excel di lavoro con i fogli</w:t>
      </w:r>
      <w:r>
        <w:t xml:space="preserve"> </w:t>
      </w:r>
      <w:r>
        <w:rPr>
          <w:rStyle w:val="VerbatimChar"/>
        </w:rPr>
        <w:t xml:space="preserve">IT arch</w:t>
      </w:r>
      <w:r>
        <w:t xml:space="preserve"> </w:t>
      </w:r>
      <w:r>
        <w:t xml:space="preserve">(mappa dei sistemi),</w:t>
      </w:r>
      <w:r>
        <w:t xml:space="preserve"> </w:t>
      </w:r>
      <w:r>
        <w:rPr>
          <w:rStyle w:val="VerbatimChar"/>
        </w:rPr>
        <w:t xml:space="preserve">IT content</w:t>
      </w:r>
      <w:r>
        <w:t xml:space="preserve"> </w:t>
      </w:r>
      <w:r>
        <w:t xml:space="preserve">(domande sui flussi) e</w:t>
      </w:r>
      <w:r>
        <w:t xml:space="preserve"> </w:t>
      </w:r>
      <w:r>
        <w:rPr>
          <w:rStyle w:val="VerbatimChar"/>
        </w:rPr>
        <w:t xml:space="preserve">definizioni</w:t>
      </w:r>
      <w:r>
        <w:t xml:space="preserve"> </w:t>
      </w:r>
      <w:r>
        <w:t xml:space="preserve">(accesso ai dati, lock-in), agosto 2026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&lt;nome_file&gt;.xlsx</w:t>
      </w:r>
      <w:r>
        <w:t xml:space="preserve"> 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4" Target="media/rId24.png" /><Relationship Type="http://schemas.openxmlformats.org/officeDocument/2006/relationships/hyperlink" Id="rId23" Target="https://fondazionecrp-my.sharepoint.com/my?id=%2Fpersonal%2Fmimmi%5Ffondazionecrp%5Fit%2FDocuments%2Fdata%5Fgovernance&amp;viewid=e1b04fc4%2Ddef3%2D4641%2D9fa6%2D58a912e01279&amp;ga=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fondazionecrp-my.sharepoint.com/my?id=%2Fpersonal%2Fmimmi%5Ffondazionecrp%5Fit%2FDocuments%2Fdata%5Fgovernance&amp;viewid=e1b04fc4%2Ddef3%2D4641%2D9fa6%2D58a912e01279&amp;ga=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Migrazione e integrazione dei sistemi di monitoraggio progetti</dc:title>
  <dc:creator/>
  <dc:language>it</dc:language>
  <cp:keywords/>
  <dcterms:created xsi:type="dcterms:W3CDTF">2026-09-02T09:02:48Z</dcterms:created>
  <dcterms:modified xsi:type="dcterms:W3CDTF">2026-09-02T09:02:48Z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27-agosto-2026</vt:lpwstr>
  </property>
  <property fmtid="{D5CDD505-2E9C-101B-9397-08002B2CF9AE}" pid="4" name="date-format">
    <vt:lpwstr>DD-MMMM-YYYY</vt:lpwstr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nedrive">
    <vt:lpwstr>https://fondazionecrp-my.sharepoint.com/my?id=%2Fpersonal%2Fmimmi%5Ffondazionecrp%5Fit%2FDocuments%2Fdata%5Fgovernance&amp;viewid=e1b04fc4%2Ddef3%2D4641%2D9fa6%2D58a912e01279&amp;ga=1</vt:lpwstr>
  </property>
  <property fmtid="{D5CDD505-2E9C-101B-9397-08002B2CF9AE}" pid="12" name="subtitle">
    <vt:lpwstr>Piano di lavoro operativo</vt:lpwstr>
  </property>
  <property fmtid="{D5CDD505-2E9C-101B-9397-08002B2CF9AE}" pid="13" name="toc-title">
    <vt:lpwstr>Indice</vt:lpwstr>
  </property>
</Properties>
</file>