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00" w:line="276" w:lineRule="auto"/>
        <w:jc w:val="both"/>
        <w:rPr>
          <w:sz w:val="40"/>
          <w:szCs w:val="40"/>
        </w:rPr>
      </w:pPr>
      <w:bookmarkStart w:colFirst="0" w:colLast="0" w:name="_heading=h.xbhisac3mzp7" w:id="0"/>
      <w:bookmarkEnd w:id="0"/>
      <w:r w:rsidDel="00000000" w:rsidR="00000000" w:rsidRPr="00000000">
        <w:rPr>
          <w:sz w:val="40"/>
          <w:szCs w:val="40"/>
          <w:rtl w:val="0"/>
        </w:rPr>
        <w:t xml:space="preserve">Protocole d'annotation pour le projet AI-EMOTION</w:t>
      </w:r>
    </w:p>
    <w:p w:rsidR="00000000" w:rsidDel="00000000" w:rsidP="00000000" w:rsidRDefault="00000000" w:rsidRPr="00000000" w14:paraId="00000002">
      <w:pPr>
        <w:pStyle w:val="Subtitle"/>
        <w:spacing w:after="160" w:before="200" w:line="276" w:lineRule="auto"/>
        <w:jc w:val="both"/>
        <w:rPr>
          <w:b w:val="1"/>
        </w:rPr>
      </w:pPr>
      <w:bookmarkStart w:colFirst="0" w:colLast="0" w:name="_heading=h.hckzreiltxe" w:id="1"/>
      <w:bookmarkEnd w:id="1"/>
      <w:r w:rsidDel="00000000" w:rsidR="00000000" w:rsidRPr="00000000">
        <w:rPr>
          <w:b w:val="1"/>
          <w:rtl w:val="0"/>
        </w:rPr>
        <w:t xml:space="preserve">Objectif général</w:t>
      </w:r>
    </w:p>
    <w:p w:rsidR="00000000" w:rsidDel="00000000" w:rsidP="00000000" w:rsidRDefault="00000000" w:rsidRPr="00000000" w14:paraId="00000003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Ce protocole vise à structurer l'annotation des émotions dans des Tweets. Les annotations seront basées sur une taxonomie des émotions inspirée des travaux de </w:t>
      </w:r>
      <w:r w:rsidDel="00000000" w:rsidR="00000000" w:rsidRPr="00000000">
        <w:rPr>
          <w:b w:val="1"/>
          <w:rtl w:val="0"/>
        </w:rPr>
        <w:t xml:space="preserve">Paul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Ekman</w:t>
      </w:r>
      <w:r w:rsidDel="00000000" w:rsidR="00000000" w:rsidRPr="00000000">
        <w:rPr>
          <w:rtl w:val="0"/>
        </w:rPr>
        <w:t xml:space="preserve"> et seront réalisées sur un tableur ayant récupéré les informations du jeu de données   </w:t>
      </w:r>
      <w:r w:rsidDel="00000000" w:rsidR="00000000" w:rsidRPr="00000000">
        <w:rPr>
          <w:b w:val="1"/>
          <w:rtl w:val="0"/>
        </w:rPr>
        <w:t xml:space="preserve">Sci-tweets.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160" w:before="200" w:line="276" w:lineRule="auto"/>
        <w:jc w:val="both"/>
        <w:rPr>
          <w:b w:val="1"/>
        </w:rPr>
      </w:pPr>
      <w:bookmarkStart w:colFirst="0" w:colLast="0" w:name="_heading=h.gynbbio1jrgr" w:id="2"/>
      <w:bookmarkEnd w:id="2"/>
      <w:r w:rsidDel="00000000" w:rsidR="00000000" w:rsidRPr="00000000">
        <w:rPr>
          <w:b w:val="1"/>
          <w:rtl w:val="0"/>
        </w:rPr>
        <w:t xml:space="preserve">Structure du protocole</w:t>
      </w:r>
    </w:p>
    <w:p w:rsidR="00000000" w:rsidDel="00000000" w:rsidP="00000000" w:rsidRDefault="00000000" w:rsidRPr="00000000" w14:paraId="00000005">
      <w:pPr>
        <w:keepNext w:val="0"/>
        <w:keepLines w:val="0"/>
        <w:spacing w:after="160" w:before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Taxonomie des émotions</w:t>
      </w:r>
    </w:p>
    <w:p w:rsidR="00000000" w:rsidDel="00000000" w:rsidP="00000000" w:rsidRDefault="00000000" w:rsidRPr="00000000" w14:paraId="00000006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Les émotions à annoter sont basées sur les six émotions fondamentales identifiées par </w:t>
      </w:r>
      <w:r w:rsidDel="00000000" w:rsidR="00000000" w:rsidRPr="00000000">
        <w:rPr>
          <w:b w:val="1"/>
          <w:rtl w:val="0"/>
        </w:rPr>
        <w:t xml:space="preserve">Paul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Ekman</w:t>
      </w:r>
      <w:r w:rsidDel="00000000" w:rsidR="00000000" w:rsidRPr="00000000">
        <w:rPr>
          <w:rtl w:val="0"/>
        </w:rPr>
        <w:t xml:space="preserve">, avec une catégorie supplémentaire pour les états neutres :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spacing w:after="160" w:before="20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Émotions principales:</w:t>
      </w:r>
      <w:r w:rsidDel="00000000" w:rsidR="00000000" w:rsidRPr="00000000">
        <w:rPr>
          <w:rtl w:val="0"/>
        </w:rPr>
        <w:t xml:space="preserve"> Peur, Colère, Joie, Surprise, Tristesse, Dégoût.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after="160" w:before="20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État neutre</w:t>
      </w:r>
      <w:r w:rsidDel="00000000" w:rsidR="00000000" w:rsidRPr="00000000">
        <w:rPr>
          <w:rtl w:val="0"/>
        </w:rPr>
        <w:t xml:space="preserve"> : Utilisé pour les cas où aucune émotion identifiable n'est présente.</w:t>
      </w:r>
    </w:p>
    <w:p w:rsidR="00000000" w:rsidDel="00000000" w:rsidP="00000000" w:rsidRDefault="00000000" w:rsidRPr="00000000" w14:paraId="00000009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Afin de permettre un jugement plus uniforme entre les annotateurs, les définitions des émotions sont rappelés ci-dessous (D’après le dictionnaire Larousse):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b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ajouter exemple et un non exemple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Peur </w:t>
      </w:r>
      <w:r w:rsidDel="00000000" w:rsidR="00000000" w:rsidRPr="00000000">
        <w:rPr>
          <w:rtl w:val="0"/>
        </w:rPr>
        <w:t xml:space="preserve">: Sentiment d'angoisse éprouvé en présence ou à la pensée d'un danger, réel ou supposé, d'une menace.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Colère </w:t>
      </w:r>
      <w:r w:rsidDel="00000000" w:rsidR="00000000" w:rsidRPr="00000000">
        <w:rPr>
          <w:rtl w:val="0"/>
        </w:rPr>
        <w:t xml:space="preserve">: État affectif violent et passager, résultant du sentiment d'une agression, d'un désagrément, traduisant un vif mécontentement et accompagné de réactions brutales.</w:t>
      </w:r>
    </w:p>
    <w:p w:rsidR="00000000" w:rsidDel="00000000" w:rsidP="00000000" w:rsidRDefault="00000000" w:rsidRPr="00000000" w14:paraId="0000000D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Joie </w:t>
      </w:r>
      <w:r w:rsidDel="00000000" w:rsidR="00000000" w:rsidRPr="00000000">
        <w:rPr>
          <w:rtl w:val="0"/>
        </w:rPr>
        <w:t xml:space="preserve">: Sentiment de plaisir, de bonheur intense, caractérisé par sa plénitude et sa durée limitée, et éprouvé par quelqu'un dont une aspiration, un désir est satisfait ou en voie de l'être.</w:t>
      </w:r>
    </w:p>
    <w:p w:rsidR="00000000" w:rsidDel="00000000" w:rsidP="00000000" w:rsidRDefault="00000000" w:rsidRPr="00000000" w14:paraId="0000000E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Surprise </w:t>
      </w:r>
      <w:r w:rsidDel="00000000" w:rsidR="00000000" w:rsidRPr="00000000">
        <w:rPr>
          <w:rtl w:val="0"/>
        </w:rPr>
        <w:t xml:space="preserve">: État de quelqu'un qui est frappé par quelque chose d'inattendu.</w:t>
      </w:r>
    </w:p>
    <w:p w:rsidR="00000000" w:rsidDel="00000000" w:rsidP="00000000" w:rsidRDefault="00000000" w:rsidRPr="00000000" w14:paraId="0000000F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Tristesse </w:t>
      </w:r>
      <w:r w:rsidDel="00000000" w:rsidR="00000000" w:rsidRPr="00000000">
        <w:rPr>
          <w:rtl w:val="0"/>
        </w:rPr>
        <w:t xml:space="preserve">: État de quelqu'un qui éprouve du chagrin, de la mélancolie ; affliction.</w:t>
      </w:r>
    </w:p>
    <w:p w:rsidR="00000000" w:rsidDel="00000000" w:rsidP="00000000" w:rsidRDefault="00000000" w:rsidRPr="00000000" w14:paraId="00000010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Dégoût</w:t>
      </w:r>
      <w:r w:rsidDel="00000000" w:rsidR="00000000" w:rsidRPr="00000000">
        <w:rPr>
          <w:rtl w:val="0"/>
        </w:rPr>
        <w:t xml:space="preserve"> : Sentiment d'aversion, de répulsion, provoqué par quelqu'un, quelque chose ; fait d'être dégoûté, de ne plus avoir de goût pour quelque chose, d'intérêt, d'attachement ou d'estime pour quelqu'un.</w:t>
      </w:r>
    </w:p>
    <w:p w:rsidR="00000000" w:rsidDel="00000000" w:rsidP="00000000" w:rsidRDefault="00000000" w:rsidRPr="00000000" w14:paraId="00000011">
      <w:pPr>
        <w:keepNext w:val="0"/>
        <w:keepLines w:val="0"/>
        <w:spacing w:after="160" w:before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Annotation des tweets</w:t>
      </w:r>
    </w:p>
    <w:p w:rsidR="00000000" w:rsidDel="00000000" w:rsidP="00000000" w:rsidRDefault="00000000" w:rsidRPr="00000000" w14:paraId="00000012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Pour chaque tweet :</w:t>
      </w:r>
    </w:p>
    <w:p w:rsidR="00000000" w:rsidDel="00000000" w:rsidP="00000000" w:rsidRDefault="00000000" w:rsidRPr="00000000" w14:paraId="00000013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1. Identifier l'émotion principale qui transparaît dans le tweet.</w:t>
      </w:r>
    </w:p>
    <w:p w:rsidR="00000000" w:rsidDel="00000000" w:rsidP="00000000" w:rsidRDefault="00000000" w:rsidRPr="00000000" w14:paraId="00000014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2. Identifier une émotion secondaire si applicable.</w:t>
      </w:r>
    </w:p>
    <w:p w:rsidR="00000000" w:rsidDel="00000000" w:rsidP="00000000" w:rsidRDefault="00000000" w:rsidRPr="00000000" w14:paraId="00000015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3. Attribuer un score de confiance à l'annotation selon trois niveaux :</w:t>
      </w:r>
    </w:p>
    <w:p w:rsidR="00000000" w:rsidDel="00000000" w:rsidP="00000000" w:rsidRDefault="00000000" w:rsidRPr="00000000" w14:paraId="00000016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: Faible confiance (</w:t>
      </w:r>
      <w:r w:rsidDel="00000000" w:rsidR="00000000" w:rsidRPr="00000000">
        <w:rPr>
          <w:i w:val="1"/>
          <w:rtl w:val="0"/>
        </w:rPr>
        <w:t xml:space="preserve">incertitude élevée)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: Confiance moyenne.</w:t>
      </w:r>
    </w:p>
    <w:p w:rsidR="00000000" w:rsidDel="00000000" w:rsidP="00000000" w:rsidRDefault="00000000" w:rsidRPr="00000000" w14:paraId="00000018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: Forte confiance </w:t>
      </w:r>
      <w:r w:rsidDel="00000000" w:rsidR="00000000" w:rsidRPr="00000000">
        <w:rPr>
          <w:i w:val="1"/>
          <w:rtl w:val="0"/>
        </w:rPr>
        <w:t xml:space="preserve">(certitude élevée)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spacing w:after="160" w:before="200" w:line="276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160" w:before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Format d'annotation</w:t>
      </w:r>
    </w:p>
    <w:p w:rsidR="00000000" w:rsidDel="00000000" w:rsidP="00000000" w:rsidRDefault="00000000" w:rsidRPr="00000000" w14:paraId="0000001B">
      <w:pPr>
        <w:spacing w:after="160" w:before="2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Être trois pour avoir le vote de majorité / faire 30 pour voir un échantillon / voir les résultats = concordance / ajuster le protocole selon les premières annotations / diviser en 3 parties.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Les annotations seront réalisées dans un fichier Excel structuré comme suit :</w:t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25"/>
        <w:gridCol w:w="1125"/>
        <w:gridCol w:w="1680"/>
        <w:gridCol w:w="1140"/>
        <w:gridCol w:w="1140"/>
        <w:gridCol w:w="1260"/>
        <w:tblGridChange w:id="0">
          <w:tblGrid>
            <w:gridCol w:w="1680"/>
            <w:gridCol w:w="1125"/>
            <w:gridCol w:w="1125"/>
            <w:gridCol w:w="1680"/>
            <w:gridCol w:w="1140"/>
            <w:gridCol w:w="1140"/>
            <w:gridCol w:w="1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noteur_1 émotions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confiance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noteur_2 émotions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McDonald's breakfast stop then the gym 🏀💪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B">
      <w:pPr>
        <w:spacing w:after="160"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Catégories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peur</w:t>
      </w:r>
      <w:r w:rsidDel="00000000" w:rsidR="00000000" w:rsidRPr="00000000">
        <w:rPr>
          <w:rtl w:val="0"/>
        </w:rPr>
        <w:t xml:space="preserve"> 1 ; </w:t>
      </w:r>
      <w:r w:rsidDel="00000000" w:rsidR="00000000" w:rsidRPr="00000000">
        <w:rPr>
          <w:b w:val="1"/>
          <w:rtl w:val="0"/>
        </w:rPr>
        <w:t xml:space="preserve">colère</w:t>
      </w:r>
      <w:r w:rsidDel="00000000" w:rsidR="00000000" w:rsidRPr="00000000">
        <w:rPr>
          <w:rtl w:val="0"/>
        </w:rPr>
        <w:t xml:space="preserve"> 2 ; </w:t>
      </w:r>
      <w:r w:rsidDel="00000000" w:rsidR="00000000" w:rsidRPr="00000000">
        <w:rPr>
          <w:b w:val="1"/>
          <w:rtl w:val="0"/>
        </w:rPr>
        <w:t xml:space="preserve">joie</w:t>
      </w:r>
      <w:r w:rsidDel="00000000" w:rsidR="00000000" w:rsidRPr="00000000">
        <w:rPr>
          <w:rtl w:val="0"/>
        </w:rPr>
        <w:t xml:space="preserve"> 3 ; </w:t>
      </w:r>
      <w:r w:rsidDel="00000000" w:rsidR="00000000" w:rsidRPr="00000000">
        <w:rPr>
          <w:b w:val="1"/>
          <w:rtl w:val="0"/>
        </w:rPr>
        <w:t xml:space="preserve">surprise</w:t>
      </w:r>
      <w:r w:rsidDel="00000000" w:rsidR="00000000" w:rsidRPr="00000000">
        <w:rPr>
          <w:rtl w:val="0"/>
        </w:rPr>
        <w:t xml:space="preserve"> 4 ; </w:t>
      </w:r>
      <w:r w:rsidDel="00000000" w:rsidR="00000000" w:rsidRPr="00000000">
        <w:rPr>
          <w:b w:val="1"/>
          <w:rtl w:val="0"/>
        </w:rPr>
        <w:t xml:space="preserve">tristesse</w:t>
      </w:r>
      <w:r w:rsidDel="00000000" w:rsidR="00000000" w:rsidRPr="00000000">
        <w:rPr>
          <w:rtl w:val="0"/>
        </w:rPr>
        <w:t xml:space="preserve"> 5 ; </w:t>
      </w:r>
      <w:r w:rsidDel="00000000" w:rsidR="00000000" w:rsidRPr="00000000">
        <w:rPr>
          <w:b w:val="1"/>
          <w:rtl w:val="0"/>
        </w:rPr>
        <w:t xml:space="preserve">dégoût</w:t>
      </w:r>
      <w:r w:rsidDel="00000000" w:rsidR="00000000" w:rsidRPr="00000000">
        <w:rPr>
          <w:rtl w:val="0"/>
        </w:rPr>
        <w:t xml:space="preserve"> 6 ; </w:t>
      </w:r>
      <w:r w:rsidDel="00000000" w:rsidR="00000000" w:rsidRPr="00000000">
        <w:rPr>
          <w:b w:val="1"/>
          <w:rtl w:val="0"/>
        </w:rPr>
        <w:t xml:space="preserve">neutre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2C">
      <w:pPr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00" w:line="276" w:lineRule="auto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Idée de pré-filtrage / samplage de petite taille / label unique </w:t>
      </w:r>
    </w:p>
    <w:p w:rsidR="00000000" w:rsidDel="00000000" w:rsidP="00000000" w:rsidRDefault="00000000" w:rsidRPr="00000000" w14:paraId="0000002E">
      <w:pPr>
        <w:keepNext w:val="0"/>
        <w:keepLines w:val="0"/>
        <w:spacing w:after="160" w:before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Instructions détaillées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2"/>
        </w:numPr>
        <w:spacing w:after="16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Une première réunion des annotateurs permet de s’accorder sur le système d’annotation en catégorisant un premier groupe de Tweets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Les annotateurs doivent lire attentivement chaque dialogue et identifier les émotions en se basant sur leur interprétation subjective du contenu et du ton.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2"/>
        </w:numPr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cas d'incertitude sur l'émotion, attribuer un score de confiance "Low".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spacing w:after="16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plusieurs émotions sont présentes, choisir celle qui semble la plus dominante comme émotion principale et indiquer l'autre comme secondaire.</w:t>
      </w:r>
    </w:p>
    <w:p w:rsidR="00000000" w:rsidDel="00000000" w:rsidP="00000000" w:rsidRDefault="00000000" w:rsidRPr="00000000" w14:paraId="00000033">
      <w:pPr>
        <w:keepNext w:val="0"/>
        <w:keepLines w:val="0"/>
        <w:spacing w:after="160" w:before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des annotations</w:t>
      </w:r>
    </w:p>
    <w:p w:rsidR="00000000" w:rsidDel="00000000" w:rsidP="00000000" w:rsidRDefault="00000000" w:rsidRPr="00000000" w14:paraId="00000034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Une étape finale consistera à vérifier la cohérence des annotations entre différents annotateurs, notamment grâce au </w:t>
      </w:r>
      <w:r w:rsidDel="00000000" w:rsidR="00000000" w:rsidRPr="00000000">
        <w:rPr>
          <w:b w:val="1"/>
          <w:rtl w:val="0"/>
        </w:rPr>
        <w:t xml:space="preserve">kappa de Fleiss</w:t>
      </w:r>
      <w:r w:rsidDel="00000000" w:rsidR="00000000" w:rsidRPr="00000000">
        <w:rPr>
          <w:rtl w:val="0"/>
        </w:rPr>
        <w:t xml:space="preserve"> pour garantir la fiabilité du jeu de données.</w:t>
      </w:r>
    </w:p>
    <w:p w:rsidR="00000000" w:rsidDel="00000000" w:rsidP="00000000" w:rsidRDefault="00000000" w:rsidRPr="00000000" w14:paraId="00000035">
      <w:pPr>
        <w:keepNext w:val="0"/>
        <w:keepLines w:val="0"/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Ks7dumoQhCtOgUc5MtELvSwUQ==">CgMxLjAyDmgueGJoaXNhYzNtenA3Mg1oLmhja3pyZWlsdHhlMg5oLmd5bmJiaW8xanJncjgAciExeW5UeXVkbmQwOE0zY1hnZy1ZTjdmMXdKWGRfQktiWms=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