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040"/>
          <w:sz w:val="40"/>
          <w:rFonts w:eastAsia="Microsoft YaHei"/>
        </w:rPr>
        <w:t>中国工商银行 转账支票</w:t>
      </w:r>
    </w:p>
    <w:p>
      <w:pPr>
        <w:jc w:val="center"/>
      </w:pPr>
      <w:r>
        <w:rPr>
          <w:color w:val="5D6B78"/>
          <w:sz w:val="20"/>
          <w:rFonts w:eastAsia="Microsoft YaHei"/>
        </w:rPr>
        <w:t>可编辑测试用例 CN-CHECK-ALIAS-001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vAlign w:val="center"/>
            <w:tcBorders>
              <w:top w:val="single" w:sz="8" w:space="0" w:color="C7D2DD"/>
              <w:left w:val="single" w:sz="8" w:space="0" w:color="C7D2DD"/>
              <w:bottom w:val="single" w:sz="8" w:space="0" w:color="C7D2DD"/>
              <w:right w:val="single" w:sz="8" w:space="0" w:color="C7D2DD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FF7E8"/>
          </w:tcPr>
          <w:p>
            <w:pPr>
              <w:jc w:val="left"/>
            </w:pPr>
            <w:r/>
            <w:r>
              <w:rPr>
                <w:b w:val="0"/>
                <w:color w:val="6B4D16"/>
                <w:sz w:val="18"/>
              </w:rPr>
              <w:t>测试重点：票面字段“入账行”业务含义为收款方银行。初始别名未配置时可能漏映射；加入别名后应映射到 beneficiary_bank。</w:t>
            </w:r>
          </w:p>
        </w:tc>
      </w:tr>
    </w:tbl>
    <w:p/>
    <w:p>
      <w:r>
        <w:rPr>
          <w:b/>
          <w:color w:val="203040"/>
          <w:sz w:val="24"/>
        </w:rPr>
        <w:t>付款方信息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付款人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华南贸易有限公司</w:t>
            </w:r>
          </w:p>
        </w:tc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付款人账号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1020304050607080</w:t>
            </w:r>
          </w:p>
        </w:tc>
      </w:tr>
      <w:tr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付款银行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中国工商银行深圳分行</w:t>
            </w:r>
          </w:p>
        </w:tc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付款银行代码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ICBKCNBJSZN</w:t>
            </w:r>
          </w:p>
        </w:tc>
      </w:tr>
    </w:tbl>
    <w:p/>
    <w:p>
      <w:r>
        <w:rPr>
          <w:b/>
          <w:color w:val="203040"/>
          <w:sz w:val="24"/>
        </w:rPr>
        <w:t>收款方信息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收款人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上海星河供应链有限公司</w:t>
            </w:r>
          </w:p>
        </w:tc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收款账号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6222009988776655</w:t>
            </w:r>
          </w:p>
        </w:tc>
      </w:tr>
      <w:tr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入账行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中国工商银行上海分行</w:t>
            </w:r>
          </w:p>
        </w:tc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备注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不可转让</w:t>
            </w:r>
          </w:p>
        </w:tc>
      </w:tr>
    </w:tbl>
    <w:p/>
    <w:p>
      <w:r>
        <w:rPr>
          <w:b/>
          <w:color w:val="203040"/>
          <w:sz w:val="24"/>
        </w:rPr>
        <w:t>金额与交易信息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金额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128,500.00</w:t>
            </w:r>
          </w:p>
        </w:tc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币种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人民币</w:t>
            </w:r>
          </w:p>
        </w:tc>
      </w:tr>
      <w:tr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大写金额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人民币壹拾贰万捌仟伍佰元整</w:t>
            </w:r>
          </w:p>
        </w:tc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用途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货款</w:t>
            </w:r>
          </w:p>
        </w:tc>
      </w:tr>
      <w:tr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出票日期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2026年05月06日</w:t>
            </w:r>
          </w:p>
        </w:tc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支票号码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CN20260506088</w:t>
            </w:r>
          </w:p>
        </w:tc>
      </w:tr>
    </w:tbl>
    <w:p/>
    <w:sectPr w:rsidR="00FC693F" w:rsidRPr="0006063C" w:rsidSect="00034616">
      <w:pgSz w:w="12240" w:h="15840"/>
      <w:pgMar w:top="907" w:right="879" w:bottom="79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