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767" w:firstLineChars="400"/>
        <w:jc w:val="both"/>
        <w:rPr>
          <w:rFonts w:hint="default" w:ascii="Ink Free" w:hAnsi="Ink Free" w:cs="Ink Free"/>
          <w:lang w:val="en-US" w:eastAsia="zh-CN"/>
        </w:rPr>
      </w:pPr>
      <w:r>
        <w:rPr>
          <w:rFonts w:hint="default" w:ascii="Ink Free" w:hAnsi="Ink Free" w:cs="Ink Free"/>
          <w:lang w:val="en-US" w:eastAsia="zh-CN"/>
        </w:rPr>
        <w:t>DATA VISUALIZATION</w:t>
      </w:r>
    </w:p>
    <w:p>
      <w:pPr>
        <w:rPr>
          <w:rFonts w:hint="default" w:ascii="Ink Free" w:hAnsi="Ink Free" w:cs="Ink Free"/>
          <w:b/>
          <w:bCs/>
          <w:color w:val="4472C4" w:themeColor="accent5"/>
          <w:sz w:val="28"/>
          <w:szCs w:val="36"/>
          <w:lang w:val="en-US" w:eastAsia="zh-CN"/>
          <w14:textFill>
            <w14:solidFill>
              <w14:schemeClr w14:val="accent5"/>
            </w14:solidFill>
          </w14:textFill>
        </w:rPr>
      </w:pPr>
      <w:r>
        <w:rPr>
          <w:rFonts w:hint="default" w:ascii="Ink Free" w:hAnsi="Ink Free" w:cs="Ink Free"/>
          <w:b/>
          <w:bCs/>
          <w:color w:val="4472C4" w:themeColor="accent5"/>
          <w:sz w:val="28"/>
          <w:szCs w:val="36"/>
          <w:lang w:val="en-US" w:eastAsia="zh-CN"/>
          <w14:textFill>
            <w14:solidFill>
              <w14:schemeClr w14:val="accent5"/>
            </w14:solidFill>
          </w14:textFill>
        </w:rPr>
        <w:t>Data Analysis Objective</w:t>
      </w:r>
    </w:p>
    <w:p>
      <w:pPr>
        <w:ind w:firstLine="420" w:firstLineChars="0"/>
        <w:rPr>
          <w:rFonts w:hint="default"/>
          <w:lang w:val="en-US" w:eastAsia="zh-CN"/>
        </w:rPr>
      </w:pPr>
      <w:r>
        <w:rPr>
          <w:rFonts w:hint="default"/>
          <w:lang w:val="en-US" w:eastAsia="zh-CN"/>
        </w:rPr>
        <w:t>The objective of this data analysis is to predict the purchasing behavior of different customers for the products offered by the store. By understanding which types of customers are more likely to make purchases, the store aims to establish user profiles and target potential customer groups, thereby enhancing product sales.</w:t>
      </w:r>
    </w:p>
    <w:p>
      <w:pPr>
        <w:rPr>
          <w:rFonts w:hint="default"/>
          <w:lang w:val="en-US" w:eastAsia="zh-CN"/>
        </w:rPr>
      </w:pPr>
    </w:p>
    <w:p>
      <w:pPr>
        <w:rPr>
          <w:rFonts w:hint="default" w:ascii="Ink Free" w:hAnsi="Ink Free" w:cs="Ink Free"/>
          <w:b/>
          <w:bCs/>
          <w:color w:val="4472C4" w:themeColor="accent5"/>
          <w:sz w:val="28"/>
          <w:szCs w:val="36"/>
          <w:lang w:val="en-US" w:eastAsia="zh-CN"/>
          <w14:textFill>
            <w14:solidFill>
              <w14:schemeClr w14:val="accent5"/>
            </w14:solidFill>
          </w14:textFill>
        </w:rPr>
      </w:pPr>
      <w:r>
        <w:rPr>
          <w:rFonts w:hint="default" w:ascii="Ink Free" w:hAnsi="Ink Free" w:cs="Ink Free"/>
          <w:b/>
          <w:bCs/>
          <w:color w:val="4472C4" w:themeColor="accent5"/>
          <w:sz w:val="28"/>
          <w:szCs w:val="36"/>
          <w:lang w:val="en-US" w:eastAsia="zh-CN"/>
          <w14:textFill>
            <w14:solidFill>
              <w14:schemeClr w14:val="accent5"/>
            </w14:solidFill>
          </w14:textFill>
        </w:rPr>
        <w:t>Data Characteristics</w:t>
      </w:r>
    </w:p>
    <w:p>
      <w:pPr>
        <w:rPr>
          <w:rFonts w:hint="default"/>
          <w:lang w:val="en-US" w:eastAsia="zh-CN"/>
        </w:rPr>
      </w:pPr>
      <w:r>
        <w:rPr>
          <w:rFonts w:hint="default"/>
          <w:lang w:val="en-US" w:eastAsia="zh-CN"/>
        </w:rPr>
        <w:t>1. The top ten customers in terms of purchase volume are concentrated in City Type A.</w:t>
      </w:r>
    </w:p>
    <w:p>
      <w:pPr>
        <w:rPr>
          <w:rFonts w:hint="default"/>
          <w:lang w:val="en-US" w:eastAsia="zh-CN"/>
        </w:rPr>
      </w:pPr>
      <w:r>
        <w:rPr>
          <w:rFonts w:hint="default"/>
          <w:lang w:val="en-US" w:eastAsia="zh-CN"/>
        </w:rPr>
        <w:t>2. Unmarried males are identified as a potential customer segment for the store.</w:t>
      </w:r>
    </w:p>
    <w:p>
      <w:pPr>
        <w:rPr>
          <w:rFonts w:hint="default"/>
          <w:lang w:val="en-US" w:eastAsia="zh-CN"/>
        </w:rPr>
      </w:pPr>
      <w:r>
        <w:rPr>
          <w:rFonts w:hint="default"/>
          <w:lang w:val="en-US" w:eastAsia="zh-CN"/>
        </w:rPr>
        <w:t>3. Customers with Occupation 4 are potential users of the products.</w:t>
      </w:r>
    </w:p>
    <w:p>
      <w:pPr>
        <w:rPr>
          <w:rFonts w:hint="default"/>
          <w:lang w:val="en-US" w:eastAsia="zh-CN"/>
        </w:rPr>
      </w:pPr>
      <w:r>
        <w:rPr>
          <w:rFonts w:hint="default"/>
          <w:lang w:val="en-US" w:eastAsia="zh-CN"/>
        </w:rPr>
        <w:t>4. City Type B represents a potential market for the store's expansion.</w:t>
      </w:r>
    </w:p>
    <w:p>
      <w:pPr>
        <w:rPr>
          <w:rFonts w:hint="default"/>
          <w:lang w:val="en-US" w:eastAsia="zh-CN"/>
        </w:rPr>
      </w:pPr>
      <w:r>
        <w:rPr>
          <w:rFonts w:hint="default"/>
          <w:lang w:val="en-US" w:eastAsia="zh-CN"/>
        </w:rPr>
        <w:t>5. Customers' purchasing power tends to increase initially with age and duration of residence, followed by a decline.</w:t>
      </w:r>
    </w:p>
    <w:p>
      <w:pPr>
        <w:rPr>
          <w:rFonts w:hint="default"/>
          <w:lang w:val="en-US" w:eastAsia="zh-CN"/>
        </w:rPr>
      </w:pPr>
    </w:p>
    <w:p>
      <w:pPr>
        <w:rPr>
          <w:rFonts w:hint="default" w:ascii="Ink Free" w:hAnsi="Ink Free" w:cs="Ink Free"/>
          <w:b/>
          <w:bCs/>
          <w:color w:val="4472C4" w:themeColor="accent5"/>
          <w:sz w:val="28"/>
          <w:szCs w:val="36"/>
          <w:lang w:val="en-US" w:eastAsia="zh-CN"/>
          <w14:textFill>
            <w14:solidFill>
              <w14:schemeClr w14:val="accent5"/>
            </w14:solidFill>
          </w14:textFill>
        </w:rPr>
      </w:pPr>
      <w:r>
        <w:rPr>
          <w:rFonts w:hint="default" w:ascii="Ink Free" w:hAnsi="Ink Free" w:cs="Ink Free"/>
          <w:b/>
          <w:bCs/>
          <w:color w:val="4472C4" w:themeColor="accent5"/>
          <w:sz w:val="28"/>
          <w:szCs w:val="36"/>
          <w:lang w:val="en-US" w:eastAsia="zh-CN"/>
          <w14:textFill>
            <w14:solidFill>
              <w14:schemeClr w14:val="accent5"/>
            </w14:solidFill>
          </w14:textFill>
        </w:rPr>
        <w:t>Dashboard Layout and Display Modes</w:t>
      </w:r>
    </w:p>
    <w:p>
      <w:pPr>
        <w:ind w:firstLine="210" w:firstLineChars="100"/>
        <w:rPr>
          <w:rFonts w:hint="eastAsia"/>
          <w:lang w:val="en-US" w:eastAsia="zh-CN"/>
        </w:rPr>
      </w:pPr>
      <w:r>
        <w:rPr>
          <w:rFonts w:hint="eastAsia"/>
          <w:lang w:val="en-US" w:eastAsia="zh-CN"/>
        </w:rPr>
        <w:t>The overall layout of the dashboard is as follows:</w:t>
      </w:r>
    </w:p>
    <w:p>
      <w:pPr>
        <w:rPr>
          <w:rFonts w:hint="eastAsia"/>
          <w:lang w:val="en-US" w:eastAsia="zh-CN"/>
        </w:rPr>
      </w:pPr>
      <w:bookmarkStart w:id="0" w:name="_GoBack"/>
      <w:bookmarkEnd w:id="0"/>
      <w:r>
        <w:drawing>
          <wp:anchor distT="0" distB="0" distL="114300" distR="114300" simplePos="0" relativeHeight="251663360" behindDoc="0" locked="0" layoutInCell="1" allowOverlap="1">
            <wp:simplePos x="0" y="0"/>
            <wp:positionH relativeFrom="column">
              <wp:posOffset>973455</wp:posOffset>
            </wp:positionH>
            <wp:positionV relativeFrom="paragraph">
              <wp:posOffset>80010</wp:posOffset>
            </wp:positionV>
            <wp:extent cx="3662045" cy="216217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662045" cy="2162175"/>
                    </a:xfrm>
                    <a:prstGeom prst="rect">
                      <a:avLst/>
                    </a:prstGeom>
                    <a:noFill/>
                    <a:ln>
                      <a:noFill/>
                    </a:ln>
                  </pic:spPr>
                </pic:pic>
              </a:graphicData>
            </a:graphic>
          </wp:anchor>
        </w:drawing>
      </w:r>
    </w:p>
    <w:p>
      <w:pPr>
        <w:rPr>
          <w:rFonts w:hint="default"/>
          <w:b/>
          <w:bCs/>
          <w:sz w:val="24"/>
          <w:szCs w:val="32"/>
          <w:lang w:val="en-US" w:eastAsia="zh-CN"/>
        </w:rPr>
      </w:pPr>
      <w:r>
        <w:rPr>
          <w:rFonts w:hint="eastAsia"/>
          <w:b/>
          <w:bCs/>
          <w:sz w:val="24"/>
          <w:szCs w:val="32"/>
          <w:lang w:val="en-US" w:eastAsia="zh-CN"/>
        </w:rPr>
        <w:t>TOP：Factor Overview</w:t>
      </w:r>
    </w:p>
    <w:p>
      <w:pPr>
        <w:ind w:firstLine="420" w:firstLineChars="0"/>
        <w:rPr>
          <w:rFonts w:hint="default"/>
          <w:lang w:val="en-US" w:eastAsia="zh-CN"/>
        </w:rPr>
      </w:pPr>
      <w:r>
        <w:rPr>
          <w:rFonts w:hint="default"/>
          <w:lang w:val="en-US" w:eastAsia="zh-CN"/>
        </w:rPr>
        <w:t>The top section of the dashboard provides an overview where the purchase proportion can be viewed based on different user information factors.</w:t>
      </w:r>
      <w:r>
        <w:rPr>
          <w:rFonts w:hint="eastAsia"/>
          <w:lang w:val="en-US" w:eastAsia="zh-CN"/>
        </w:rPr>
        <w:t xml:space="preserve"> It helps the store to quickly understand the specific factors influencing purchases volume and their proportions.</w:t>
      </w:r>
      <w:r>
        <w:rPr>
          <w:rFonts w:ascii="Segoe UI" w:hAnsi="Segoe UI" w:eastAsia="Segoe UI" w:cs="Segoe UI"/>
          <w:i w:val="0"/>
          <w:iCs w:val="0"/>
          <w:caps w:val="0"/>
          <w:color w:val="374151"/>
          <w:spacing w:val="0"/>
          <w:sz w:val="12"/>
          <w:szCs w:val="12"/>
          <w:shd w:val="clear" w:fill="F7F7F8"/>
        </w:rPr>
        <w:t>.</w:t>
      </w:r>
    </w:p>
    <w:p>
      <w:pPr>
        <w:ind w:firstLine="420" w:firstLineChars="0"/>
        <w:rPr>
          <w:rFonts w:hint="default"/>
          <w:lang w:val="en-US" w:eastAsia="zh-CN"/>
        </w:rPr>
      </w:pPr>
      <w:r>
        <w:drawing>
          <wp:anchor distT="0" distB="0" distL="114300" distR="114300" simplePos="0" relativeHeight="251660288" behindDoc="1" locked="0" layoutInCell="1" allowOverlap="1">
            <wp:simplePos x="0" y="0"/>
            <wp:positionH relativeFrom="column">
              <wp:posOffset>-173355</wp:posOffset>
            </wp:positionH>
            <wp:positionV relativeFrom="paragraph">
              <wp:posOffset>102870</wp:posOffset>
            </wp:positionV>
            <wp:extent cx="2707640" cy="1125220"/>
            <wp:effectExtent l="0" t="0" r="6985" b="8255"/>
            <wp:wrapTight wrapText="bothSides">
              <wp:wrapPolygon>
                <wp:start x="0" y="0"/>
                <wp:lineTo x="0" y="21393"/>
                <wp:lineTo x="21504" y="21393"/>
                <wp:lineTo x="2150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07640" cy="112522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3189605</wp:posOffset>
            </wp:positionH>
            <wp:positionV relativeFrom="paragraph">
              <wp:posOffset>83185</wp:posOffset>
            </wp:positionV>
            <wp:extent cx="2683510" cy="1254760"/>
            <wp:effectExtent l="0" t="0" r="2540" b="2540"/>
            <wp:wrapTight wrapText="bothSides">
              <wp:wrapPolygon>
                <wp:start x="0" y="0"/>
                <wp:lineTo x="0" y="21480"/>
                <wp:lineTo x="21544" y="21480"/>
                <wp:lineTo x="2154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83510" cy="1254760"/>
                    </a:xfrm>
                    <a:prstGeom prst="rect">
                      <a:avLst/>
                    </a:prstGeom>
                    <a:noFill/>
                    <a:ln>
                      <a:noFill/>
                    </a:ln>
                  </pic:spPr>
                </pic:pic>
              </a:graphicData>
            </a:graphic>
          </wp:anchor>
        </w:drawing>
      </w:r>
    </w:p>
    <w:p>
      <w:pPr>
        <w:numPr>
          <w:numId w:val="0"/>
        </w:numPr>
        <w:ind w:left="420" w:leftChars="0"/>
        <w:rPr>
          <w:rFonts w:hint="default"/>
          <w:b/>
          <w:bCs/>
          <w:lang w:val="en-US" w:eastAsia="zh-CN"/>
        </w:rPr>
      </w:pPr>
    </w:p>
    <w:p>
      <w:pPr>
        <w:numPr>
          <w:numId w:val="0"/>
        </w:numPr>
        <w:ind w:firstLine="1687" w:firstLineChars="800"/>
        <w:rPr>
          <w:rFonts w:hint="default"/>
          <w:lang w:val="en-US" w:eastAsia="zh-CN"/>
        </w:rPr>
      </w:pPr>
      <w:r>
        <w:rPr>
          <w:rFonts w:hint="eastAsia"/>
          <w:b/>
          <w:bCs/>
          <w:lang w:val="en-US" w:eastAsia="zh-CN"/>
        </w:rPr>
        <w:t xml:space="preserve">                  </w:t>
      </w: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r>
        <w:drawing>
          <wp:anchor distT="0" distB="0" distL="114300" distR="114300" simplePos="0" relativeHeight="251662336" behindDoc="1" locked="0" layoutInCell="1" allowOverlap="1">
            <wp:simplePos x="0" y="0"/>
            <wp:positionH relativeFrom="column">
              <wp:posOffset>-103505</wp:posOffset>
            </wp:positionH>
            <wp:positionV relativeFrom="paragraph">
              <wp:posOffset>115570</wp:posOffset>
            </wp:positionV>
            <wp:extent cx="2582545" cy="1286510"/>
            <wp:effectExtent l="0" t="0" r="8255" b="8890"/>
            <wp:wrapTight wrapText="bothSides">
              <wp:wrapPolygon>
                <wp:start x="0" y="0"/>
                <wp:lineTo x="0" y="21429"/>
                <wp:lineTo x="21510" y="21429"/>
                <wp:lineTo x="2151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4464" t="8407"/>
                    <a:stretch>
                      <a:fillRect/>
                    </a:stretch>
                  </pic:blipFill>
                  <pic:spPr>
                    <a:xfrm>
                      <a:off x="0" y="0"/>
                      <a:ext cx="2582545" cy="1286510"/>
                    </a:xfrm>
                    <a:prstGeom prst="rect">
                      <a:avLst/>
                    </a:prstGeom>
                    <a:noFill/>
                    <a:ln>
                      <a:noFill/>
                    </a:ln>
                  </pic:spPr>
                </pic:pic>
              </a:graphicData>
            </a:graphic>
          </wp:anchor>
        </w:drawing>
      </w:r>
    </w:p>
    <w:p>
      <w:pPr>
        <w:numPr>
          <w:numId w:val="0"/>
        </w:numPr>
        <w:ind w:left="420" w:leftChars="0"/>
        <w:rPr>
          <w:rFonts w:hint="default"/>
          <w:lang w:val="en-US" w:eastAsia="zh-CN"/>
        </w:rPr>
      </w:pPr>
      <w:r>
        <w:drawing>
          <wp:anchor distT="0" distB="0" distL="114300" distR="114300" simplePos="0" relativeHeight="251661312" behindDoc="1" locked="0" layoutInCell="1" allowOverlap="1">
            <wp:simplePos x="0" y="0"/>
            <wp:positionH relativeFrom="column">
              <wp:posOffset>701675</wp:posOffset>
            </wp:positionH>
            <wp:positionV relativeFrom="paragraph">
              <wp:posOffset>20320</wp:posOffset>
            </wp:positionV>
            <wp:extent cx="2534920" cy="1234440"/>
            <wp:effectExtent l="0" t="0" r="8255" b="3810"/>
            <wp:wrapTight wrapText="bothSides">
              <wp:wrapPolygon>
                <wp:start x="0" y="0"/>
                <wp:lineTo x="0" y="21500"/>
                <wp:lineTo x="21508" y="21500"/>
                <wp:lineTo x="2150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34920" cy="1234440"/>
                    </a:xfrm>
                    <a:prstGeom prst="rect">
                      <a:avLst/>
                    </a:prstGeom>
                    <a:noFill/>
                    <a:ln>
                      <a:noFill/>
                    </a:ln>
                  </pic:spPr>
                </pic:pic>
              </a:graphicData>
            </a:graphic>
          </wp:anchor>
        </w:drawing>
      </w: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rPr>
          <w:rFonts w:hint="default"/>
          <w:lang w:val="en-US" w:eastAsia="zh-CN"/>
        </w:rPr>
      </w:pPr>
    </w:p>
    <w:p>
      <w:pPr>
        <w:ind w:firstLine="420" w:firstLineChars="0"/>
        <w:rPr>
          <w:rFonts w:hint="eastAsia" w:ascii="Calibri" w:hAnsi="Calibri" w:eastAsia="宋体" w:cs="Calibri"/>
          <w:i w:val="0"/>
          <w:iCs w:val="0"/>
          <w:caps w:val="0"/>
          <w:color w:val="auto"/>
          <w:spacing w:val="0"/>
          <w:sz w:val="21"/>
          <w:szCs w:val="21"/>
          <w:shd w:val="clear" w:color="auto" w:fill="auto"/>
          <w:lang w:eastAsia="zh-CN"/>
        </w:rPr>
      </w:pPr>
      <w:r>
        <w:rPr>
          <w:rFonts w:hint="default" w:ascii="Calibri" w:hAnsi="Calibri" w:eastAsia="Segoe UI" w:cs="Calibri"/>
          <w:i w:val="0"/>
          <w:iCs w:val="0"/>
          <w:caps w:val="0"/>
          <w:color w:val="auto"/>
          <w:spacing w:val="0"/>
          <w:sz w:val="21"/>
          <w:szCs w:val="21"/>
          <w:shd w:val="clear" w:color="auto" w:fill="auto"/>
        </w:rPr>
        <w:t>From the above four bar charts, it can be inferred that</w:t>
      </w:r>
      <w:r>
        <w:rPr>
          <w:rFonts w:hint="eastAsia" w:ascii="Calibri" w:hAnsi="Calibri" w:eastAsia="宋体" w:cs="Calibri"/>
          <w:i w:val="0"/>
          <w:iCs w:val="0"/>
          <w:caps w:val="0"/>
          <w:color w:val="auto"/>
          <w:spacing w:val="0"/>
          <w:sz w:val="21"/>
          <w:szCs w:val="21"/>
          <w:shd w:val="clear" w:color="auto" w:fill="auto"/>
          <w:lang w:eastAsia="zh-CN"/>
        </w:rPr>
        <w:t>：</w:t>
      </w:r>
    </w:p>
    <w:p>
      <w:pPr>
        <w:numPr>
          <w:ilvl w:val="0"/>
          <w:numId w:val="1"/>
        </w:numPr>
        <w:tabs>
          <w:tab w:val="clear" w:pos="420"/>
        </w:tabs>
        <w:ind w:left="840" w:leftChars="0" w:hanging="420" w:firstLineChars="0"/>
        <w:rPr>
          <w:rFonts w:hint="default" w:ascii="Calibri" w:hAnsi="Calibri" w:eastAsia="Segoe UI" w:cs="Calibri"/>
          <w:i w:val="0"/>
          <w:iCs w:val="0"/>
          <w:caps w:val="0"/>
          <w:color w:val="auto"/>
          <w:spacing w:val="0"/>
          <w:sz w:val="21"/>
          <w:szCs w:val="21"/>
          <w:shd w:val="clear" w:color="auto" w:fill="auto"/>
        </w:rPr>
      </w:pPr>
      <w:r>
        <w:rPr>
          <w:rFonts w:hint="default" w:ascii="Calibri" w:hAnsi="Calibri" w:eastAsia="Segoe UI" w:cs="Calibri"/>
          <w:i w:val="0"/>
          <w:iCs w:val="0"/>
          <w:caps w:val="0"/>
          <w:color w:val="auto"/>
          <w:spacing w:val="0"/>
          <w:sz w:val="21"/>
          <w:szCs w:val="21"/>
          <w:shd w:val="clear" w:color="auto" w:fill="auto"/>
        </w:rPr>
        <w:t>customers from City Category B have the highest potential purchasing power.</w:t>
      </w:r>
    </w:p>
    <w:p>
      <w:pPr>
        <w:numPr>
          <w:ilvl w:val="0"/>
          <w:numId w:val="1"/>
        </w:numPr>
        <w:tabs>
          <w:tab w:val="clear" w:pos="420"/>
        </w:tabs>
        <w:ind w:left="840" w:leftChars="0" w:hanging="420" w:firstLineChars="0"/>
        <w:rPr>
          <w:rFonts w:hint="default" w:ascii="Calibri" w:hAnsi="Calibri" w:eastAsia="Segoe UI" w:cs="Calibri"/>
          <w:i w:val="0"/>
          <w:iCs w:val="0"/>
          <w:caps w:val="0"/>
          <w:color w:val="auto"/>
          <w:spacing w:val="0"/>
          <w:sz w:val="21"/>
          <w:szCs w:val="21"/>
          <w:shd w:val="clear" w:color="auto" w:fill="auto"/>
        </w:rPr>
      </w:pPr>
      <w:r>
        <w:rPr>
          <w:rFonts w:hint="default" w:ascii="Calibri" w:hAnsi="Calibri" w:eastAsia="Segoe UI" w:cs="Calibri"/>
          <w:i w:val="0"/>
          <w:iCs w:val="0"/>
          <w:caps w:val="0"/>
          <w:color w:val="auto"/>
          <w:spacing w:val="0"/>
          <w:sz w:val="21"/>
          <w:szCs w:val="21"/>
          <w:shd w:val="clear" w:color="auto" w:fill="auto"/>
        </w:rPr>
        <w:t>Customers with Occupation 0 and Occupation 4 have the highest potential purchasing power.</w:t>
      </w:r>
    </w:p>
    <w:p>
      <w:pPr>
        <w:numPr>
          <w:ilvl w:val="0"/>
          <w:numId w:val="1"/>
        </w:numPr>
        <w:tabs>
          <w:tab w:val="clear" w:pos="420"/>
        </w:tabs>
        <w:ind w:left="840" w:leftChars="0" w:hanging="420" w:firstLineChars="0"/>
        <w:rPr>
          <w:rFonts w:hint="default" w:ascii="Calibri" w:hAnsi="Calibri" w:eastAsia="Segoe UI" w:cs="Calibri"/>
          <w:i w:val="0"/>
          <w:iCs w:val="0"/>
          <w:caps w:val="0"/>
          <w:color w:val="auto"/>
          <w:spacing w:val="0"/>
          <w:sz w:val="21"/>
          <w:szCs w:val="21"/>
          <w:shd w:val="clear" w:color="auto" w:fill="auto"/>
        </w:rPr>
      </w:pPr>
      <w:r>
        <w:rPr>
          <w:rFonts w:hint="default" w:ascii="Calibri" w:hAnsi="Calibri" w:eastAsia="Segoe UI" w:cs="Calibri"/>
          <w:i w:val="0"/>
          <w:iCs w:val="0"/>
          <w:caps w:val="0"/>
          <w:color w:val="auto"/>
          <w:spacing w:val="0"/>
          <w:sz w:val="21"/>
          <w:szCs w:val="21"/>
          <w:shd w:val="clear" w:color="auto" w:fill="auto"/>
        </w:rPr>
        <w:t xml:space="preserve"> Male and unmarried customers have the highest potential purchasing power.</w:t>
      </w:r>
    </w:p>
    <w:p>
      <w:pPr>
        <w:ind w:firstLine="420" w:firstLineChars="0"/>
        <w:rPr>
          <w:rFonts w:hint="default" w:ascii="Calibri" w:hAnsi="Calibri" w:eastAsia="Segoe UI" w:cs="Calibri"/>
          <w:i w:val="0"/>
          <w:iCs w:val="0"/>
          <w:caps w:val="0"/>
          <w:color w:val="auto"/>
          <w:spacing w:val="0"/>
          <w:sz w:val="21"/>
          <w:szCs w:val="21"/>
          <w:shd w:val="clear" w:color="auto" w:fill="auto"/>
          <w:lang w:val="en-US" w:eastAsia="zh-CN"/>
        </w:rPr>
      </w:pPr>
    </w:p>
    <w:p>
      <w:pPr>
        <w:rPr>
          <w:rFonts w:hint="default"/>
          <w:b/>
          <w:bCs/>
          <w:sz w:val="24"/>
          <w:szCs w:val="32"/>
          <w:lang w:val="en-US" w:eastAsia="zh-CN"/>
        </w:rPr>
      </w:pPr>
      <w:r>
        <w:rPr>
          <w:rFonts w:hint="eastAsia"/>
          <w:b/>
          <w:bCs/>
          <w:sz w:val="24"/>
          <w:szCs w:val="32"/>
          <w:lang w:val="en-US" w:eastAsia="zh-CN"/>
        </w:rPr>
        <w:t>MIDDLE：User Information Details</w:t>
      </w:r>
    </w:p>
    <w:p>
      <w:pPr>
        <w:ind w:firstLine="420" w:firstLineChars="0"/>
        <w:rPr>
          <w:rFonts w:hint="default"/>
          <w:lang w:val="en-US" w:eastAsia="zh-CN"/>
        </w:rPr>
      </w:pPr>
      <w:r>
        <w:rPr>
          <w:rFonts w:hint="default"/>
          <w:lang w:val="en-US" w:eastAsia="zh-CN"/>
        </w:rPr>
        <w:t>The middle section of the dashboard displays detailed information. By filtering the top ten customers based on purchasing power, the store can examine their specific personal information, assisting in the creation of typical user profiles.</w:t>
      </w:r>
    </w:p>
    <w:p>
      <w:pPr>
        <w:rPr>
          <w:rFonts w:hint="default"/>
          <w:lang w:val="en-US" w:eastAsia="zh-CN"/>
        </w:rPr>
      </w:pPr>
      <w:r>
        <w:drawing>
          <wp:inline distT="0" distB="0" distL="114300" distR="114300">
            <wp:extent cx="4699635" cy="2173605"/>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9635" cy="2173605"/>
                    </a:xfrm>
                    <a:prstGeom prst="rect">
                      <a:avLst/>
                    </a:prstGeom>
                    <a:noFill/>
                    <a:ln>
                      <a:noFill/>
                    </a:ln>
                  </pic:spPr>
                </pic:pic>
              </a:graphicData>
            </a:graphic>
          </wp:inline>
        </w:drawing>
      </w:r>
    </w:p>
    <w:p>
      <w:pPr>
        <w:rPr>
          <w:rFonts w:hint="default"/>
          <w:lang w:val="en-US" w:eastAsia="zh-CN"/>
        </w:rPr>
      </w:pPr>
    </w:p>
    <w:p>
      <w:pPr>
        <w:rPr>
          <w:rFonts w:hint="default"/>
          <w:b/>
          <w:bCs/>
          <w:sz w:val="24"/>
          <w:szCs w:val="32"/>
          <w:lang w:val="en-US" w:eastAsia="zh-CN"/>
        </w:rPr>
      </w:pPr>
      <w:r>
        <w:rPr>
          <w:rFonts w:hint="eastAsia"/>
          <w:b/>
          <w:bCs/>
          <w:sz w:val="24"/>
          <w:szCs w:val="32"/>
          <w:lang w:val="en-US" w:eastAsia="zh-CN"/>
        </w:rPr>
        <w:t>BUTTOM：Purchasing Power Trends</w:t>
      </w:r>
    </w:p>
    <w:p>
      <w:pPr>
        <w:ind w:firstLine="420" w:firstLineChars="0"/>
        <w:rPr>
          <w:rFonts w:hint="default"/>
          <w:lang w:val="en-US" w:eastAsia="zh-CN"/>
        </w:rPr>
      </w:pPr>
      <w:r>
        <w:rPr>
          <w:rFonts w:hint="default"/>
          <w:lang w:val="en-US" w:eastAsia="zh-CN"/>
        </w:rPr>
        <w:t>The bottom section of the dashboard presents future development trends. It allows the store to observe the changes in customer purchasing power with respect to age and duration of residence, enabling better sales strategies tailored to different time periods.</w:t>
      </w:r>
    </w:p>
    <w:p>
      <w:pPr>
        <w:ind w:firstLine="420" w:firstLineChars="0"/>
      </w:pPr>
      <w:r>
        <w:drawing>
          <wp:inline distT="0" distB="0" distL="114300" distR="114300">
            <wp:extent cx="4170045" cy="1753235"/>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70045" cy="1753235"/>
                    </a:xfrm>
                    <a:prstGeom prst="rect">
                      <a:avLst/>
                    </a:prstGeom>
                    <a:noFill/>
                    <a:ln>
                      <a:noFill/>
                    </a:ln>
                  </pic:spPr>
                </pic:pic>
              </a:graphicData>
            </a:graphic>
          </wp:inline>
        </w:drawing>
      </w:r>
    </w:p>
    <w:p>
      <w:pPr>
        <w:ind w:firstLine="420" w:firstLineChars="0"/>
      </w:pPr>
      <w:r>
        <w:drawing>
          <wp:inline distT="0" distB="0" distL="114300" distR="114300">
            <wp:extent cx="4150360" cy="17246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50360" cy="1724660"/>
                    </a:xfrm>
                    <a:prstGeom prst="rect">
                      <a:avLst/>
                    </a:prstGeom>
                    <a:noFill/>
                    <a:ln>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ind w:firstLine="420" w:firstLineChars="0"/>
        <w:rPr>
          <w:rFonts w:hint="default" w:ascii="Calibri" w:hAnsi="Calibri" w:eastAsia="Segoe UI" w:cs="Calibri"/>
          <w:i w:val="0"/>
          <w:iCs w:val="0"/>
          <w:caps w:val="0"/>
          <w:color w:val="auto"/>
          <w:spacing w:val="0"/>
          <w:sz w:val="21"/>
          <w:szCs w:val="21"/>
          <w:shd w:val="clear" w:color="auto" w:fill="auto"/>
          <w:lang w:val="en-US" w:eastAsia="zh-CN"/>
        </w:rPr>
      </w:pPr>
      <w:r>
        <w:rPr>
          <w:rFonts w:hint="default" w:ascii="Calibri" w:hAnsi="Calibri" w:eastAsia="Segoe UI" w:cs="Calibri"/>
          <w:i w:val="0"/>
          <w:iCs w:val="0"/>
          <w:caps w:val="0"/>
          <w:color w:val="auto"/>
          <w:spacing w:val="0"/>
          <w:sz w:val="21"/>
          <w:szCs w:val="21"/>
          <w:shd w:val="clear" w:color="auto" w:fill="auto"/>
        </w:rPr>
        <w:t>From the above two line charts, it can be observed that customer purchasing power shows a general trend of initially increasing and then decreasing as age and duration of stay in the current city increase. Among them, customers in the age range of 26-35 and with a duration of 1 year in the current city have the highest purchasing potential.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Rockwell">
    <w:panose1 w:val="02060603020205020403"/>
    <w:charset w:val="00"/>
    <w:family w:val="auto"/>
    <w:pitch w:val="default"/>
    <w:sig w:usb0="00000003" w:usb1="00000000" w:usb2="00000000" w:usb3="00000000" w:csb0="20000001" w:csb1="00000000"/>
  </w:font>
  <w:font w:name="幼圆">
    <w:panose1 w:val="02010509060101010101"/>
    <w:charset w:val="86"/>
    <w:family w:val="auto"/>
    <w:pitch w:val="default"/>
    <w:sig w:usb0="00000001" w:usb1="080E0000" w:usb2="00000000" w:usb3="00000000" w:csb0="00040000" w:csb1="00000000"/>
  </w:font>
  <w:font w:name="Segoe Script">
    <w:panose1 w:val="030B0504020000000003"/>
    <w:charset w:val="00"/>
    <w:family w:val="auto"/>
    <w:pitch w:val="default"/>
    <w:sig w:usb0="0000028F" w:usb1="00000000" w:usb2="00000000" w:usb3="00000000" w:csb0="0000009F" w:csb1="00000000"/>
  </w:font>
  <w:font w:name="Rockwell Extra Bold">
    <w:panose1 w:val="02060903040505020403"/>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Ink Free">
    <w:panose1 w:val="03080402000500000000"/>
    <w:charset w:val="00"/>
    <w:family w:val="auto"/>
    <w:pitch w:val="default"/>
    <w:sig w:usb0="80000003"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华光行楷_CNKI">
    <w:panose1 w:val="02000500000000000000"/>
    <w:charset w:val="86"/>
    <w:family w:val="auto"/>
    <w:pitch w:val="default"/>
    <w:sig w:usb0="A00002BF" w:usb1="18CF7CFA" w:usb2="00000016" w:usb3="00000000" w:csb0="0004000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ill Sans MT">
    <w:panose1 w:val="020B0502020104020203"/>
    <w:charset w:val="00"/>
    <w:family w:val="auto"/>
    <w:pitch w:val="default"/>
    <w:sig w:usb0="00000003" w:usb1="00000000" w:usb2="00000000" w:usb3="00000000" w:csb0="20000003" w:csb1="00000000"/>
  </w:font>
  <w:font w:name="Georgia">
    <w:panose1 w:val="02040502050405020303"/>
    <w:charset w:val="00"/>
    <w:family w:val="auto"/>
    <w:pitch w:val="default"/>
    <w:sig w:usb0="00000287" w:usb1="00000000" w:usb2="00000000" w:usb3="00000000" w:csb0="2000009F" w:csb1="00000000"/>
  </w:font>
  <w:font w:name="Gill Sans MT Condensed">
    <w:panose1 w:val="020B0506020104020203"/>
    <w:charset w:val="00"/>
    <w:family w:val="auto"/>
    <w:pitch w:val="default"/>
    <w:sig w:usb0="00000003" w:usb1="00000000" w:usb2="00000000" w:usb3="00000000" w:csb0="20000003" w:csb1="00000000"/>
  </w:font>
  <w:font w:name="Kristen ITC">
    <w:panose1 w:val="03050502040202030202"/>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Informal Roman">
    <w:panose1 w:val="030604020304060B0204"/>
    <w:charset w:val="00"/>
    <w:family w:val="auto"/>
    <w:pitch w:val="default"/>
    <w:sig w:usb0="00000003" w:usb1="00000000" w:usb2="00000000" w:usb3="00000000" w:csb0="20000001" w:csb1="00000000"/>
  </w:font>
  <w:font w:name="华光姚体_CNKI">
    <w:panose1 w:val="02000500000000000000"/>
    <w:charset w:val="86"/>
    <w:family w:val="auto"/>
    <w:pitch w:val="default"/>
    <w:sig w:usb0="A00002BF" w:usb1="38CF7CFA" w:usb2="00000016" w:usb3="00000000" w:csb0="0004000F" w:csb1="00000000"/>
  </w:font>
  <w:font w:name="HGF2X_CNKI">
    <w:panose1 w:val="02000500000000000000"/>
    <w:charset w:val="86"/>
    <w:family w:val="auto"/>
    <w:pitch w:val="default"/>
    <w:sig w:usb0="80000023" w:usb1="18010000" w:usb2="00000010" w:usb3="00000000" w:csb0="00040003" w:csb1="00000000"/>
  </w:font>
  <w:font w:name="HGH5X_CNKI">
    <w:panose1 w:val="02000500000000000000"/>
    <w:charset w:val="86"/>
    <w:family w:val="auto"/>
    <w:pitch w:val="default"/>
    <w:sig w:usb0="00000001" w:usb1="08010000" w:usb2="00000000" w:usb3="00000000" w:csb0="00040001" w:csb1="00000000"/>
  </w:font>
  <w:font w:name="HGH6_CNKI">
    <w:panose1 w:val="02000500000000000000"/>
    <w:charset w:val="86"/>
    <w:family w:val="auto"/>
    <w:pitch w:val="default"/>
    <w:sig w:usb0="80000023" w:usb1="18010000" w:usb2="00000010" w:usb3="00000000" w:csb0="00040003" w:csb1="00000000"/>
  </w:font>
  <w:font w:name="HGH5_CNKI">
    <w:panose1 w:val="02000500000000000000"/>
    <w:charset w:val="86"/>
    <w:family w:val="auto"/>
    <w:pitch w:val="default"/>
    <w:sig w:usb0="00000001" w:usb1="08010000" w:usb2="00000000" w:usb3="00000000" w:csb0="00040001" w:csb1="00000000"/>
  </w:font>
  <w:font w:name="华光标题黑_CNKI">
    <w:panose1 w:val="02000500000000000000"/>
    <w:charset w:val="86"/>
    <w:family w:val="auto"/>
    <w:pitch w:val="default"/>
    <w:sig w:usb0="A00002BF" w:usb1="18CF7CFA" w:usb2="00000016" w:usb3="00000000" w:csb0="0004000F" w:csb1="00000000"/>
  </w:font>
  <w:font w:name="HGDY_CNKI">
    <w:panose1 w:val="02000500000000000000"/>
    <w:charset w:val="86"/>
    <w:family w:val="auto"/>
    <w:pitch w:val="default"/>
    <w:sig w:usb0="80000023" w:usb1="18010000" w:usb2="00000010" w:usb3="00000000" w:csb0="00040003" w:csb1="00000000"/>
  </w:font>
  <w:font w:name="HGF5X_CNKI">
    <w:panose1 w:val="02000500000000000000"/>
    <w:charset w:val="86"/>
    <w:family w:val="auto"/>
    <w:pitch w:val="default"/>
    <w:sig w:usb0="00000001" w:usb1="08010000" w:usb2="00000000" w:usb3="00000000" w:csb0="00040001" w:csb1="00000000"/>
  </w:font>
  <w:font w:name="HGF6_CNKI">
    <w:panose1 w:val="02000500000000000000"/>
    <w:charset w:val="86"/>
    <w:family w:val="auto"/>
    <w:pitch w:val="default"/>
    <w:sig w:usb0="00000001" w:usb1="08010000" w:usb2="00000000" w:usb3="00000000" w:csb0="00040001" w:csb1="00000000"/>
  </w:font>
  <w:font w:name="HGF5_CNKI">
    <w:panose1 w:val="02000500000000000000"/>
    <w:charset w:val="86"/>
    <w:family w:val="auto"/>
    <w:pitch w:val="default"/>
    <w:sig w:usb0="80000023" w:usb1="18010000" w:usb2="00000010" w:usb3="00000000" w:csb0="00040003" w:csb1="00000000"/>
  </w:font>
  <w:font w:name="HGF4X_CNKI">
    <w:panose1 w:val="02000500000000000000"/>
    <w:charset w:val="86"/>
    <w:family w:val="auto"/>
    <w:pitch w:val="default"/>
    <w:sig w:usb0="80000023" w:usb1="18010000" w:usb2="00000010" w:usb3="00000000" w:csb0="00040003" w:csb1="00000000"/>
  </w:font>
  <w:font w:name="HGF4_CNKI">
    <w:panose1 w:val="02000500000000000000"/>
    <w:charset w:val="86"/>
    <w:family w:val="auto"/>
    <w:pitch w:val="default"/>
    <w:sig w:usb0="80000023" w:usb1="18010000" w:usb2="00000010" w:usb3="00000000" w:csb0="00040003" w:csb1="00000000"/>
  </w:font>
  <w:font w:name="HGF6X_CNKI">
    <w:panose1 w:val="02000500000000000000"/>
    <w:charset w:val="86"/>
    <w:family w:val="auto"/>
    <w:pitch w:val="default"/>
    <w:sig w:usb0="80000023" w:usb1="18010000" w:usb2="00000010" w:usb3="00000000" w:csb0="00040003" w:csb1="00000000"/>
  </w:font>
  <w:font w:name="HGF9X_CNKI">
    <w:panose1 w:val="02000500000000000000"/>
    <w:charset w:val="86"/>
    <w:family w:val="auto"/>
    <w:pitch w:val="default"/>
    <w:sig w:usb0="80000023" w:usb1="18010000" w:usb2="00000010" w:usb3="00000000" w:csb0="0004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587E88"/>
    <w:multiLevelType w:val="singleLevel"/>
    <w:tmpl w:val="27587E88"/>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xZWJjNWE5NDI5ZDdhOWYxNmYxNTljN2RjZGIyMzYifQ=="/>
  </w:docVars>
  <w:rsids>
    <w:rsidRoot w:val="6BF76950"/>
    <w:rsid w:val="04BC223F"/>
    <w:rsid w:val="08040D24"/>
    <w:rsid w:val="1F163863"/>
    <w:rsid w:val="3E9F548F"/>
    <w:rsid w:val="532D4ACC"/>
    <w:rsid w:val="61F07DBB"/>
    <w:rsid w:val="6BF76950"/>
    <w:rsid w:val="6CA125CA"/>
    <w:rsid w:val="72190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373</Words>
  <Characters>2016</Characters>
  <Lines>0</Lines>
  <Paragraphs>0</Paragraphs>
  <TotalTime>13</TotalTime>
  <ScaleCrop>false</ScaleCrop>
  <LinksUpToDate>false</LinksUpToDate>
  <CharactersWithSpaces>2379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2023-05-20T05:46:00Z</dcterms:created>
  <dc:creator>静水流深</dc:creator>
  <cp:lastModifiedBy>静水流深</cp:lastModifiedBy>
  <dcterms:modified xsi:type="dcterms:W3CDTF">2023-05-20T07:52:21Z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E93464A1B0D547D6AB1721525781BCFB_11</vt:lpwstr>
  </property>
</Properties>
</file>