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after="240" w:line="259" w:lineRule="auto"/>
        <w:jc w:val="center"/>
      </w:pPr>
      <w:r>
        <w:rPr>
          <w:b/>
          <w:sz w:val="24"/>
          <w:szCs w:val="24"/>
        </w:rPr>
        <w:t xml:space="preserve">Индивидуальные рекомендации по направлению «Игровое взаимодействие»</w:t>
      </w:r>
    </w:p>
    <w:tbl>
      <w:tblPr>
        <w:tblStyle w:val="TableGrid"/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4200"/>
        <w:gridCol w:w="4800"/>
      </w:tblGrid>
      <w:tr>
        <w:tc>
          <w:tcPr>
            <w:tcW w:w="4200" w:type="dxa"/>
          </w:tcPr>
          <w:p>
            <w:pPr>
              <w:spacing w:after="40" w:line="259" w:lineRule="auto"/>
            </w:pPr>
            <w:r>
              <w:t xml:space="preserve">ФИО:</w:t>
            </w:r>
          </w:p>
        </w:tc>
        <w:tc>
          <w:tcPr>
            <w:tcW w:w="4800" w:type="dxa"/>
          </w:tcPr>
          <w:p>
            <w:pPr>
              <w:spacing w:after="40" w:line="259" w:lineRule="auto"/>
            </w:pPr>
            <w:r>
              <w:t xml:space="preserve"/>
            </w:r>
          </w:p>
        </w:tc>
      </w:tr>
      <w:tr>
        <w:tc>
          <w:tcPr>
            <w:tcW w:w="4200" w:type="dxa"/>
          </w:tcPr>
          <w:p>
            <w:pPr>
              <w:spacing w:after="40" w:line="259" w:lineRule="auto"/>
            </w:pPr>
            <w:r>
              <w:t xml:space="preserve">Дата рождения:</w:t>
            </w:r>
          </w:p>
        </w:tc>
        <w:tc>
          <w:tcPr>
            <w:tcW w:w="4800" w:type="dxa"/>
          </w:tcPr>
          <w:p>
            <w:pPr>
              <w:spacing w:after="40" w:line="259" w:lineRule="auto"/>
            </w:pPr>
            <w:r>
              <w:t xml:space="preserve"/>
            </w:r>
          </w:p>
        </w:tc>
      </w:tr>
      <w:tr>
        <w:tc>
          <w:tcPr>
            <w:tcW w:w="4200" w:type="dxa"/>
          </w:tcPr>
          <w:p>
            <w:pPr>
              <w:spacing w:after="40" w:line="259" w:lineRule="auto"/>
            </w:pPr>
            <w:r>
              <w:t xml:space="preserve">Дата начала периода реабилитации:</w:t>
            </w:r>
          </w:p>
        </w:tc>
        <w:tc>
          <w:tcPr>
            <w:tcW w:w="4800" w:type="dxa"/>
          </w:tcPr>
          <w:p>
            <w:pPr>
              <w:spacing w:after="40" w:line="259" w:lineRule="auto"/>
            </w:pPr>
            <w:r>
              <w:t xml:space="preserve"/>
            </w:r>
          </w:p>
        </w:tc>
      </w:tr>
      <w:tr>
        <w:tc>
          <w:tcPr>
            <w:tcW w:w="4200" w:type="dxa"/>
          </w:tcPr>
          <w:p>
            <w:pPr>
              <w:spacing w:after="40" w:line="259" w:lineRule="auto"/>
            </w:pPr>
            <w:r>
              <w:t xml:space="preserve">Дата окончания периода реабилитации:</w:t>
            </w:r>
          </w:p>
        </w:tc>
        <w:tc>
          <w:tcPr>
            <w:tcW w:w="4800" w:type="dxa"/>
          </w:tcPr>
          <w:p>
            <w:pPr>
              <w:spacing w:after="40" w:line="259" w:lineRule="auto"/>
            </w:pPr>
            <w:r>
              <w:t xml:space="preserve"/>
            </w:r>
          </w:p>
        </w:tc>
      </w:tr>
      <w:tr>
        <w:tc>
          <w:tcPr>
            <w:tcW w:w="4200" w:type="dxa"/>
          </w:tcPr>
          <w:p>
            <w:pPr>
              <w:spacing w:after="40" w:line="259" w:lineRule="auto"/>
            </w:pPr>
            <w:r>
              <w:t xml:space="preserve">Специалист:</w:t>
            </w:r>
          </w:p>
        </w:tc>
        <w:tc>
          <w:tcPr>
            <w:tcW w:w="4800" w:type="dxa"/>
          </w:tcPr>
          <w:p>
            <w:pPr>
              <w:spacing w:after="40" w:line="259" w:lineRule="auto"/>
            </w:pPr>
            <w:r>
              <w:t xml:space="preserve"/>
            </w:r>
          </w:p>
        </w:tc>
      </w:tr>
      <w:tr>
        <w:tc>
          <w:tcPr>
            <w:tcW w:w="4200" w:type="dxa"/>
          </w:tcPr>
          <w:p>
            <w:pPr>
              <w:spacing w:after="40" w:line="259" w:lineRule="auto"/>
            </w:pPr>
            <w:r>
              <w:t xml:space="preserve">Количество занятий:</w:t>
            </w:r>
          </w:p>
        </w:tc>
        <w:tc>
          <w:tcPr>
            <w:tcW w:w="4800" w:type="dxa"/>
          </w:tcPr>
          <w:p>
            <w:pPr>
              <w:spacing w:after="40" w:line="259" w:lineRule="auto"/>
            </w:pPr>
            <w:r>
              <w:t xml:space="preserve"/>
            </w:r>
          </w:p>
        </w:tc>
      </w:tr>
    </w:tbl>
    <w:p>
      <w:pPr>
        <w:spacing w:after="80" w:line="259" w:lineRule="auto"/>
      </w:pPr>
      <w:r>
        <w:t xml:space="preserve"/>
      </w:r>
    </w:p>
    <w:p>
      <w:pPr>
        <w:spacing w:after="120" w:line="259" w:lineRule="auto"/>
      </w:pPr>
      <w:r>
        <w:rPr>
          <w:b/>
          <w:sz w:val="24"/>
          <w:szCs w:val="24"/>
        </w:rPr>
        <w:t xml:space="preserve">Актуальное состояние</w:t>
      </w:r>
    </w:p>
    <w:p>
      <w:pPr>
        <w:spacing w:after="160" w:line="259" w:lineRule="auto"/>
        <w:jc w:val="both"/>
      </w:pPr>
      <w:r>
        <w:rPr>
          <w:sz w:val="24"/>
          <w:szCs w:val="24"/>
        </w:rPr>
        <w:t xml:space="preserve">[микротема не заполнена]</w:t>
      </w:r>
    </w:p>
    <w:p>
      <w:pPr>
        <w:spacing w:after="160" w:line="259" w:lineRule="auto"/>
        <w:jc w:val="both"/>
      </w:pPr>
      <w:r>
        <w:rPr>
          <w:sz w:val="24"/>
          <w:szCs w:val="24"/>
        </w:rPr>
        <w:t xml:space="preserve">[микротема не заполнена]</w:t>
      </w:r>
    </w:p>
    <w:p>
      <w:pPr>
        <w:spacing w:after="160" w:line="259" w:lineRule="auto"/>
        <w:jc w:val="both"/>
      </w:pPr>
      <w:r>
        <w:rPr>
          <w:sz w:val="24"/>
          <w:szCs w:val="24"/>
        </w:rPr>
        <w:t xml:space="preserve">[микротема не заполнена]</w:t>
      </w:r>
    </w:p>
    <w:p>
      <w:pPr>
        <w:spacing w:after="160" w:line="259" w:lineRule="auto"/>
        <w:jc w:val="both"/>
      </w:pPr>
      <w:r>
        <w:rPr>
          <w:sz w:val="24"/>
          <w:szCs w:val="24"/>
        </w:rPr>
        <w:t xml:space="preserve">[микротема не заполнена]</w:t>
      </w:r>
    </w:p>
    <w:p>
      <w:pPr>
        <w:spacing w:after="160" w:line="259" w:lineRule="auto"/>
        <w:jc w:val="both"/>
      </w:pPr>
      <w:r>
        <w:rPr>
          <w:sz w:val="24"/>
          <w:szCs w:val="24"/>
        </w:rPr>
        <w:t xml:space="preserve">[микротема не заполнена]</w:t>
      </w:r>
    </w:p>
    <w:p>
      <w:pPr>
        <w:spacing w:after="160" w:line="259" w:lineRule="auto"/>
        <w:jc w:val="both"/>
      </w:pPr>
      <w:r>
        <w:rPr>
          <w:sz w:val="24"/>
          <w:szCs w:val="24"/>
        </w:rPr>
        <w:t xml:space="preserve">[микротема не заполнена]</w:t>
      </w:r>
    </w:p>
    <w:p>
      <w:pPr>
        <w:spacing w:after="120" w:line="259" w:lineRule="auto"/>
      </w:pPr>
      <w:r>
        <w:rPr>
          <w:b/>
          <w:sz w:val="24"/>
          <w:szCs w:val="24"/>
        </w:rPr>
        <w:t xml:space="preserve">Цели на период реабилитации:</w:t>
      </w:r>
    </w:p>
    <w:p>
      <w:pPr>
        <w:spacing w:after="160" w:line="259" w:lineRule="auto"/>
        <w:jc w:val="both"/>
      </w:pPr>
      <w:r>
        <w:rPr>
          <w:sz w:val="24"/>
          <w:szCs w:val="24"/>
        </w:rPr>
        <w:t xml:space="preserve">[блок не заполнен]</w:t>
      </w:r>
    </w:p>
    <w:p>
      <w:pPr>
        <w:spacing w:after="120" w:line="259" w:lineRule="auto"/>
      </w:pPr>
      <w:r>
        <w:rPr>
          <w:b/>
          <w:sz w:val="24"/>
          <w:szCs w:val="24"/>
        </w:rPr>
        <w:t xml:space="preserve">Приёмы работы:</w:t>
      </w:r>
    </w:p>
    <w:p>
      <w:pPr>
        <w:spacing w:after="160" w:line="259" w:lineRule="auto"/>
        <w:jc w:val="both"/>
      </w:pPr>
      <w:r>
        <w:rPr>
          <w:sz w:val="24"/>
          <w:szCs w:val="24"/>
        </w:rPr>
        <w:t xml:space="preserve">[блок не заполнен]</w:t>
      </w:r>
    </w:p>
    <w:p>
      <w:pPr>
        <w:spacing w:after="120" w:line="259" w:lineRule="auto"/>
      </w:pPr>
      <w:r>
        <w:rPr>
          <w:b/>
          <w:sz w:val="24"/>
          <w:szCs w:val="24"/>
        </w:rPr>
        <w:t xml:space="preserve">Результаты:</w:t>
      </w:r>
    </w:p>
    <w:p>
      <w:pPr>
        <w:spacing w:after="160" w:line="259" w:lineRule="auto"/>
        <w:jc w:val="both"/>
      </w:pPr>
      <w:r>
        <w:rPr>
          <w:sz w:val="24"/>
          <w:szCs w:val="24"/>
        </w:rPr>
        <w:t xml:space="preserve">[блок не заполнен]</w:t>
      </w:r>
    </w:p>
    <w:p>
      <w:pPr>
        <w:spacing w:after="120" w:line="259" w:lineRule="auto"/>
      </w:pPr>
      <w:r>
        <w:rPr>
          <w:b/>
          <w:sz w:val="24"/>
          <w:szCs w:val="24"/>
        </w:rPr>
        <w:t xml:space="preserve">Цели на следующий период:</w:t>
      </w:r>
    </w:p>
    <w:p>
      <w:pPr>
        <w:spacing w:after="160" w:line="259" w:lineRule="auto"/>
        <w:jc w:val="both"/>
      </w:pPr>
      <w:r>
        <w:rPr>
          <w:sz w:val="24"/>
          <w:szCs w:val="24"/>
        </w:rPr>
        <w:t xml:space="preserve">[блок не заполнен]</w:t>
      </w:r>
    </w:p>
    <w:p>
      <w:pPr>
        <w:spacing w:after="120" w:line="259" w:lineRule="auto"/>
      </w:pPr>
      <w:r>
        <w:rPr>
          <w:b/>
          <w:sz w:val="24"/>
          <w:szCs w:val="24"/>
        </w:rPr>
        <w:t xml:space="preserve">Рекомендации:</w:t>
      </w:r>
    </w:p>
    <w:p>
      <w:pPr>
        <w:spacing w:after="160" w:line="259" w:lineRule="auto"/>
        <w:jc w:val="both"/>
      </w:pPr>
      <w:r>
        <w:rPr>
          <w:sz w:val="24"/>
          <w:szCs w:val="24"/>
        </w:rPr>
        <w:t xml:space="preserve">Взаимодействие со сверстниками в данный период не организовывалось, поэтому рекомендации по этой сфере будут добавлены при появлении соответствующих наблюдений.</w:t>
      </w:r>
    </w:p>
    <w:p>
      <w:pPr>
        <w:spacing w:after="120" w:line="259" w:lineRule="auto"/>
      </w:pPr>
      <w:r>
        <w:rPr>
          <w:b/>
          <w:sz w:val="24"/>
          <w:szCs w:val="24"/>
        </w:rPr>
        <w:t xml:space="preserve">Рекомендуемая литература:</w:t>
      </w:r>
    </w:p>
    <w:p>
      <w:pPr>
        <w:spacing w:after="60" w:line="259" w:lineRule="auto"/>
        <w:jc w:val="both"/>
        <w:numPr>
          <w:ilvl w:val="0"/>
          <w:numId w:val="1"/>
        </w:numPr>
      </w:pPr>
      <w:r>
        <w:rPr>
          <w:sz w:val="24"/>
          <w:szCs w:val="24"/>
        </w:rPr>
        <w:t xml:space="preserve">С. Гринспен «На ты с аутизмом. Использование методики Floortime для развития отношений, общения и мышления»</w:t>
      </w:r>
    </w:p>
    <w:p>
      <w:pPr>
        <w:spacing w:after="60" w:line="259" w:lineRule="auto"/>
        <w:jc w:val="both"/>
        <w:numPr>
          <w:ilvl w:val="0"/>
          <w:numId w:val="1"/>
        </w:numPr>
      </w:pPr>
      <w:r>
        <w:rPr>
          <w:sz w:val="24"/>
          <w:szCs w:val="24"/>
        </w:rPr>
        <w:t xml:space="preserve">«Лабиринт с прозрачными стенами: путеводитель по миру детей с аутизмом» (под редакцией И.Л. Шпицберга)</w:t>
      </w:r>
    </w:p>
    <w:p>
      <w:pPr>
        <w:spacing w:after="60" w:line="259" w:lineRule="auto"/>
        <w:jc w:val="both"/>
        <w:numPr>
          <w:ilvl w:val="0"/>
          <w:numId w:val="1"/>
        </w:numPr>
      </w:pPr>
      <w:r>
        <w:rPr>
          <w:sz w:val="24"/>
          <w:szCs w:val="24"/>
        </w:rPr>
        <w:t xml:space="preserve">Улла Кислинг — «Сенсорная интеграция в диалоге. Понять ребенка, распознать проблему, помочь обрести равновесие»</w:t>
      </w:r>
    </w:p>
    <w:p>
      <w:pPr>
        <w:spacing w:after="60" w:line="259" w:lineRule="auto"/>
        <w:jc w:val="both"/>
        <w:numPr>
          <w:ilvl w:val="0"/>
          <w:numId w:val="1"/>
        </w:numPr>
      </w:pPr>
      <w:r>
        <w:rPr>
          <w:sz w:val="24"/>
          <w:szCs w:val="24"/>
        </w:rPr>
        <w:t xml:space="preserve">Як Эллен, Аквилла Паула, Саттон Ширли — «Строим мостики с помощью сенсорной интеграции»</w:t>
      </w:r>
    </w:p>
    <w:p>
      <w:pPr>
        <w:spacing w:after="60" w:line="259" w:lineRule="auto"/>
        <w:jc w:val="both"/>
        <w:numPr>
          <w:ilvl w:val="0"/>
          <w:numId w:val="1"/>
        </w:numPr>
      </w:pPr>
      <w:r>
        <w:rPr>
          <w:sz w:val="24"/>
          <w:szCs w:val="24"/>
        </w:rPr>
        <w:t xml:space="preserve">Ольга Богдашина — «Сенсорно-перцептивные проблемы при аутизме»</w:t>
      </w:r>
    </w:p>
    <w:p>
      <w:pPr>
        <w:spacing w:after="60" w:line="259" w:lineRule="auto"/>
        <w:jc w:val="both"/>
        <w:numPr>
          <w:ilvl w:val="0"/>
          <w:numId w:val="1"/>
        </w:numPr>
      </w:pPr>
      <w:r>
        <w:rPr>
          <w:sz w:val="24"/>
          <w:szCs w:val="24"/>
        </w:rPr>
        <w:t xml:space="preserve">Ольга Богдашина — «Вопросы коммуникации при аутизме и синдроме Аспергера. Говорим ли мы на одном языке?»</w:t>
      </w:r>
    </w:p>
    <w:p>
      <w:pPr>
        <w:spacing w:after="60" w:line="259" w:lineRule="auto"/>
        <w:jc w:val="both"/>
        <w:numPr>
          <w:ilvl w:val="0"/>
          <w:numId w:val="1"/>
        </w:numPr>
      </w:pPr>
      <w:r>
        <w:rPr>
          <w:sz w:val="24"/>
          <w:szCs w:val="24"/>
        </w:rPr>
        <w:t xml:space="preserve">Кэрол Сток Крановиц — «Разбалансированный ребенок»</w:t>
      </w:r>
    </w:p>
    <w:p>
      <w:pPr>
        <w:spacing w:after="60" w:line="259" w:lineRule="auto"/>
        <w:jc w:val="both"/>
        <w:numPr>
          <w:ilvl w:val="0"/>
          <w:numId w:val="1"/>
        </w:numPr>
      </w:pPr>
      <w:r>
        <w:rPr>
          <w:sz w:val="24"/>
          <w:szCs w:val="24"/>
        </w:rPr>
        <w:t xml:space="preserve">Мона Делахук — «Психология детского поведения. Как помочь ребенку справиться с эмоциональными проблемами»</w:t>
      </w:r>
    </w:p>
    <w:p>
      <w:pPr>
        <w:spacing w:after="60" w:line="259" w:lineRule="auto"/>
        <w:jc w:val="both"/>
        <w:numPr>
          <w:ilvl w:val="0"/>
          <w:numId w:val="1"/>
        </w:numPr>
      </w:pPr>
      <w:r>
        <w:rPr>
          <w:sz w:val="24"/>
          <w:szCs w:val="24"/>
        </w:rPr>
        <w:t xml:space="preserve">Стюарт Шенкер — «Саморегуляция: Как помочь ребенку (и себе) справляться со стрессом»</w:t>
      </w:r>
    </w:p>
    <w:p>
      <w:pPr>
        <w:spacing w:after="60" w:line="259" w:lineRule="auto"/>
        <w:jc w:val="both"/>
        <w:numPr>
          <w:ilvl w:val="0"/>
          <w:numId w:val="1"/>
        </w:numPr>
      </w:pPr>
      <w:r>
        <w:rPr>
          <w:sz w:val="24"/>
          <w:szCs w:val="24"/>
        </w:rPr>
        <w:t xml:space="preserve">Сара Ньюмен — «Игры и занятия с особым ребенком»</w:t>
      </w:r>
    </w:p>
    <w:p>
      <w:pPr>
        <w:spacing w:after="60" w:line="259" w:lineRule="auto"/>
        <w:jc w:val="both"/>
        <w:numPr>
          <w:ilvl w:val="0"/>
          <w:numId w:val="1"/>
        </w:numPr>
      </w:pPr>
      <w:r>
        <w:rPr>
          <w:sz w:val="24"/>
          <w:szCs w:val="24"/>
        </w:rPr>
        <w:t xml:space="preserve">Елена Янушко — «Игры с аутичным ребёнком»</w:t>
      </w:r>
    </w:p>
    <w:p>
      <w:pPr>
        <w:spacing w:after="60" w:line="259" w:lineRule="auto"/>
        <w:jc w:val="both"/>
        <w:numPr>
          <w:ilvl w:val="0"/>
          <w:numId w:val="1"/>
        </w:numPr>
      </w:pPr>
      <w:r>
        <w:rPr>
          <w:sz w:val="24"/>
          <w:szCs w:val="24"/>
        </w:rPr>
        <w:t xml:space="preserve">Тара Делани — «Развитие основных навыков у детей с аутизмом»</w:t>
      </w:r>
    </w:p>
    <w:p>
      <w:pPr>
        <w:spacing w:after="60" w:line="259" w:lineRule="auto"/>
        <w:jc w:val="both"/>
        <w:numPr>
          <w:ilvl w:val="0"/>
          <w:numId w:val="1"/>
        </w:numPr>
      </w:pPr>
      <w:r>
        <w:rPr>
          <w:sz w:val="24"/>
          <w:szCs w:val="24"/>
        </w:rPr>
        <w:t xml:space="preserve">Эллен Нотбом — «10 вещей, о которых хотел бы рассказать вам ребенок с аутизмом»</w:t>
      </w:r>
    </w:p>
    <w:p>
      <w:pPr>
        <w:spacing w:after="60" w:line="259" w:lineRule="auto"/>
        <w:jc w:val="both"/>
        <w:numPr>
          <w:ilvl w:val="0"/>
          <w:numId w:val="1"/>
        </w:numPr>
      </w:pPr>
      <w:r>
        <w:rPr>
          <w:sz w:val="24"/>
          <w:szCs w:val="24"/>
        </w:rPr>
        <w:t xml:space="preserve">Д. Саксонов, Т. Юдина — «Мы здесь. Из родительского опыта воспитания и обучения ребёнка с расстройством аутистического спектра»</w:t>
      </w:r>
    </w:p>
    <w:p>
      <w:pPr>
        <w:spacing w:after="60" w:line="259" w:lineRule="auto"/>
        <w:jc w:val="both"/>
        <w:numPr>
          <w:ilvl w:val="0"/>
          <w:numId w:val="1"/>
        </w:numPr>
      </w:pPr>
      <w:r>
        <w:rPr>
          <w:sz w:val="24"/>
          <w:szCs w:val="24"/>
        </w:rPr>
        <w:t xml:space="preserve">Пол Коллинз — «Даже не ошибка. Отцовское путешествие в таинственную историю аутизма»</w:t>
      </w:r>
    </w:p>
    <w:p>
      <w:pPr>
        <w:spacing w:after="60" w:line="259" w:lineRule="auto"/>
        <w:jc w:val="both"/>
        <w:numPr>
          <w:ilvl w:val="0"/>
          <w:numId w:val="1"/>
        </w:numPr>
      </w:pPr>
      <w:r>
        <w:rPr>
          <w:sz w:val="24"/>
          <w:szCs w:val="24"/>
        </w:rPr>
        <w:t xml:space="preserve">Дэниэл Сигел Дж. — «Майндсайт. Новая наука личной трансформации»</w:t>
      </w:r>
    </w:p>
    <w:p>
      <w:pPr>
        <w:spacing w:after="60" w:line="259" w:lineRule="auto"/>
        <w:jc w:val="both"/>
        <w:numPr>
          <w:ilvl w:val="0"/>
          <w:numId w:val="1"/>
        </w:numPr>
      </w:pPr>
      <w:r>
        <w:rPr>
          <w:sz w:val="24"/>
          <w:szCs w:val="24"/>
        </w:rPr>
        <w:t xml:space="preserve">Дэниэл Сигел Дж., Брайсон Тина Пэйн — «Воспитание с умом. 12 революционных стратегий всестороннего развития мозга вашего ребенка»</w:t>
      </w:r>
    </w:p>
    <w:p>
      <w:pPr>
        <w:spacing w:after="60" w:line="259" w:lineRule="auto"/>
        <w:jc w:val="both"/>
        <w:numPr>
          <w:ilvl w:val="0"/>
          <w:numId w:val="1"/>
        </w:numPr>
      </w:pPr>
      <w:r>
        <w:rPr>
          <w:sz w:val="24"/>
          <w:szCs w:val="24"/>
        </w:rPr>
        <w:t xml:space="preserve">Дэниэл Сигел Дж., Брайсон Тина Пэйн — «Дисциплина без драм. Как помочь ребенку воспитать характер»</w:t>
      </w:r>
    </w:p>
    <w:p>
      <w:pPr>
        <w:spacing w:after="60" w:line="259" w:lineRule="auto"/>
        <w:jc w:val="both"/>
        <w:numPr>
          <w:ilvl w:val="0"/>
          <w:numId w:val="1"/>
        </w:numPr>
      </w:pPr>
      <w:r>
        <w:rPr>
          <w:sz w:val="24"/>
          <w:szCs w:val="24"/>
        </w:rPr>
        <w:t xml:space="preserve">Дэниэл Сигел Дж., Брайсон Тина Пэйн — «Хорошие родители дают детям корни и крылья. 4 условия воспитания самостоятельного и счастливого ребенка»</w:t>
      </w:r>
    </w:p>
    <w:p>
      <w:pPr>
        <w:spacing w:after="60" w:line="259" w:lineRule="auto"/>
        <w:jc w:val="both"/>
        <w:numPr>
          <w:ilvl w:val="0"/>
          <w:numId w:val="1"/>
        </w:numPr>
      </w:pPr>
      <w:r>
        <w:rPr>
          <w:sz w:val="24"/>
          <w:szCs w:val="24"/>
        </w:rPr>
        <w:t xml:space="preserve">Стивен Шор — «За стеной. Личный опыт: аутизм и синдром Аспергера»</w:t>
      </w:r>
    </w:p>
    <w:p>
      <w:pPr>
        <w:spacing w:after="60" w:line="259" w:lineRule="auto"/>
        <w:jc w:val="both"/>
        <w:numPr>
          <w:ilvl w:val="0"/>
          <w:numId w:val="1"/>
        </w:numPr>
      </w:pPr>
      <w:r>
        <w:rPr>
          <w:sz w:val="24"/>
          <w:szCs w:val="24"/>
        </w:rPr>
        <w:t xml:space="preserve">Донна Уильямс — «Никто нигде. Удивительная автобиография аутичной девочки»</w:t>
      </w:r>
    </w:p>
    <w:p>
      <w:pPr>
        <w:spacing w:after="60" w:line="259" w:lineRule="auto"/>
        <w:jc w:val="both"/>
        <w:numPr>
          <w:ilvl w:val="0"/>
          <w:numId w:val="1"/>
        </w:numPr>
      </w:pPr>
      <w:r>
        <w:rPr>
          <w:sz w:val="24"/>
          <w:szCs w:val="24"/>
        </w:rPr>
        <w:t xml:space="preserve">Темпл Грэндин — «Отворяя двери надежды»</w:t>
      </w:r>
    </w:p>
    <w:p>
      <w:pPr>
        <w:spacing w:after="60" w:line="259" w:lineRule="auto"/>
        <w:jc w:val="both"/>
        <w:numPr>
          <w:ilvl w:val="0"/>
          <w:numId w:val="1"/>
        </w:numPr>
      </w:pPr>
      <w:r>
        <w:rPr>
          <w:sz w:val="24"/>
          <w:szCs w:val="24"/>
        </w:rPr>
        <w:t xml:space="preserve">Ирис Юханссон — «Особое детство»</w:t>
      </w:r>
    </w:p>
    <w:p>
      <w:pPr>
        <w:spacing w:after="60" w:line="259" w:lineRule="auto"/>
        <w:jc w:val="both"/>
        <w:numPr>
          <w:ilvl w:val="0"/>
          <w:numId w:val="1"/>
        </w:numPr>
      </w:pPr>
      <w:r>
        <w:rPr>
          <w:sz w:val="24"/>
          <w:szCs w:val="24"/>
        </w:rPr>
        <w:t xml:space="preserve">Нэнси Р. Финни — «Ребёнок с церебральным параличом»</w:t>
      </w:r>
    </w:p>
    <w:sectPr>
      <w:pgSz w:w="11906" w:h="16838"/>
      <w:pgMar w:top="1134" w:right="850" w:bottom="1134" w:left="1701" w:header="708" w:footer="708" w:gutter="0"/>
    </w:sectPr>
  </w:body>
</w:document>
</file>

<file path=word/numbering.xml><?xml version="1.0" encoding="utf-8"?>
<w:numbering xmlns:w="http://schemas.openxmlformats.org/wordprocessingml/2006/main">
  <w:abstractNum w:abstractNumId="0">
    <w:lvl w:ilvl="0">
      <w:start w:val="1"/>
      <w:numFmt w:val="decimal"/>
      <w:lvlText w:val="%1."/>
      <w:lvlJc w:val="left"/>
      <w:pPr>
        <w:ind w:left="709" w:hanging="360"/>
      </w:pPr>
    </w:lvl>
  </w:abstractNum>
  <w:num w:numId="1">
    <w:abstractNumId w:val="0"/>
  </w:num>
</w:numbering>
</file>

<file path=word/styles.xml><?xml version="1.0" encoding="utf-8"?>
<w:styles xmlns:w="http://schemas.openxmlformats.org/wordprocessingml/2006/main">
  <w:docDefaults>
    <w:rPrDefault>
      <w:rPr>
        <w:rFonts w:ascii="Times New Roman" w:hAnsi="Times New Roman" w:cs="Times New Roman"/>
        <w:sz w:val="24"/>
        <w:szCs w:val="24"/>
        <w:lang w:val="ru-RU"/>
      </w:rPr>
    </w:rPrDefault>
    <w:pPrDefault>
      <w:pPr>
        <w:spacing w:after="160" w:line="259" w:lineRule="auto"/>
      </w:pPr>
    </w:pPrDefault>
  </w:docDefaults>
  <w:style w:type="paragraph" w:default="1" w:styleId="Normal">
    <w:name w:val="Normal"/>
    <w:pPr>
      <w:spacing w:after="160" w:line="259" w:lineRule="auto"/>
      <w:jc w:val="both"/>
    </w:pPr>
    <w:rPr>
      <w:rFonts w:ascii="Times New Roman" w:hAnsi="Times New Roman" w:cs="Times New Roman"/>
      <w:sz w:val="24"/>
      <w:szCs w:val="24"/>
    </w:rPr>
  </w:style>
  <w:style w:type="table" w:styleId="TableGrid">
    <w:name w:val="Table Grid"/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/Relationships>
</file>