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1800" w:after="90" w:line="432"/>
        <w:ind w:left="0" w:right="0" w:firstLine="480"/>
        <w:jc w:val="center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52"/>
        </w:rPr>
        <w:t>LightGBM 集成学习在多因子 A 股选股中的实证研究</w:t>
      </w:r>
    </w:p>
    <w:p w14:paraId="00000002">
      <w:pPr>
        <w:spacing w:before="450" w:after="90" w:line="432"/>
        <w:ind w:left="0" w:right="0" w:firstLine="480"/>
        <w:jc w:val="center"/>
        <w:rPr>
          <w:color w:val="333333"/>
        </w:rPr>
      </w:pPr>
      <w:r>
        <w:rPr>
          <w:rFonts w:hint="eastAsia" w:ascii="SimSun" w:hAnsi="SimSun" w:eastAsia="SimSun" w:cs="SimSun"/>
          <w:color w:val="333333"/>
          <w:sz w:val="28"/>
        </w:rPr>
        <w:t>——验收、落地与学界共识对照</w:t>
      </w:r>
    </w:p>
    <w:p w14:paraId="00000003">
      <w:pPr>
        <w:spacing w:before="900" w:after="90" w:line="432"/>
        <w:ind w:left="0" w:right="0" w:firstLine="480"/>
        <w:jc w:val="center"/>
        <w:rPr>
          <w:color w:val="555555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555555"/>
          <w:sz w:val="24"/>
        </w:rPr>
        <w:t>SAS 项目技术论文 · 2026-10-31</w:t>
      </w:r>
    </w:p>
    <w:p w14:paraId="00000004">
      <w:pPr>
        <w:spacing w:before="450" w:after="240" w:line="432"/>
        <w:ind w:left="0" w:right="0" w:firstLine="480"/>
        <w:jc w:val="center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32"/>
        </w:rPr>
        <w:t>目录</w:t>
      </w:r>
    </w:p>
    <w:p w14:paraId="00000005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"section-0" </w:instrText>
      </w:r>
      <w:r>
        <w:fldChar w:fldCharType="separate" w:fldLock="0" w:dirty="0"/>
      </w:r>
      <w:r>
        <w:rPr>
          <w:rFonts w:hint="eastAsia"/>
        </w:rPr>
        <w:t>摘要与关键词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6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 引言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7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研究背景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8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研究空白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9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1.3 研究目的与贡献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 文献综述与业界共识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国际学术锚点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业界基准（微软 Qlib）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国内实证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2.4 共识提炼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 研究方法与数据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系统架构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多因子控制组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机器学习打分层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3.4 验收协议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 实证结果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线性 Ridge 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LightGBM 完整版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7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统计显著性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8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4.4 与线性层对比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9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 讨论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A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结果解释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B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与学界共识对齐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C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 实践意义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D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5.4 局限性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E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 落地与部署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F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 结论与展望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0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参考文献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21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22">
      <w:pPr>
        <w:pStyle w:val="000003"/>
        <w:keepNext w:val="1"/>
        <w:keepLines w:val="1"/>
        <w:spacing w:before="270" w:beforeAutospacing="1" w:after="180" w:afterAutospacing="1" w:line="432"/>
        <w:ind w:left="0" w:right="0"/>
        <w:jc w:val="center"/>
        <w:outlineLvl w:val="0"/>
        <w:rPr>
          <w:color w:val="000000"/>
          <w:kern w:val="44"/>
          <w:sz w:val="44"/>
          <w:szCs w:val="44"/>
        </w:rPr>
      </w:pPr>
      <w:bookmarkStart w:id="1" w:name="section-0"/>
      <w:r>
        <w:rPr>
          <w:rFonts w:hint="eastAsia" w:ascii="SimSun" w:hAnsi="SimSun" w:eastAsia="SimSun" w:cs="SimSun"/>
          <w:b w:val="1"/>
          <w:color w:val="000000"/>
          <w:sz w:val="34"/>
        </w:rPr>
        <w:t>摘要与关键词</w:t>
      </w:r>
      <w:bookmarkEnd w:id="1"/>
    </w:p>
    <w:p w14:paraId="00000023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本文基于个人 A 股量化研究工具 SAS（实时行情监控、技术指标全市场选股、历史回测与模拟交易），系统检验了以 LightGBM 为代表的集成学习模型对传统多因子打分体系的增益。研究采用 18 段不重叠、每段 21 交易日、Top300 的随机分段验收协议（冻结种子 20261028），以 14 因子多因子模型为控制组，对比三类机器学习打分层：纯 LightGBM 替换层（ml_lgb）、0.5 融合层（ml_lgb_blend）、行业中性层（ml_lgb_ind）。结果显示：纯 LightGBM 层配对中位超额 +4.55%，通过 3.5pp 采纳线；行业中性层 +3.95% 同样过线；朴素 0.5 融合层 +2.95% 未过线。但 bootstrap 中位 95% 置信区间约为 [−0.2%, +9.8%]，符号检验单侧 p=0.24，点估计过线而统计置信度为中等。作为对照，线性 Ridge 层（A-minus）配对中位 −0.33%、赢率 44%，未过线，但显著收紧下行尾部（25 分位 −1.09% vs 基线 −4.63%）。研究结论与学界/业界成熟共识一致：GBDT 类模型在 A 股截面预测上稳定优于线性多因子，但边际优势中等且统计不硬，最佳实践是"增强/集成"而非"纯替代"。基于此，本文提出将 LightGBM 层作为生产候选（default_ml）接入影子账户前向验证与模拟盘实时打分的落地方案。</w:t>
      </w:r>
    </w:p>
    <w:p w14:paraId="00000024">
      <w:pPr>
        <w:spacing w:before="90" w:after="90" w:line="432"/>
        <w:ind w:left="0" w:right="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关键词：LightGBM；多因子模型；A 股选股；集成学习；截面预测；前向验证</w:t>
      </w:r>
    </w:p>
    <w:p w14:paraId="00000025">
      <w:pPr>
        <w:pStyle w:val="000003"/>
        <w:keepNext w:val="1"/>
        <w:keepLines w:val="1"/>
        <w:spacing w:before="270" w:beforeAutospacing="1" w:after="180" w:afterAutospacing="1" w:line="432"/>
        <w:ind w:left="0" w:right="0"/>
        <w:jc w:val="center"/>
        <w:outlineLvl w:val="0"/>
        <w:rPr>
          <w:color w:val="000000"/>
          <w:kern w:val="44"/>
          <w:sz w:val="44"/>
          <w:szCs w:val="44"/>
        </w:rPr>
      </w:pPr>
      <w:bookmarkStart w:id="2" w:name="section-1"/>
      <w:r>
        <w:rPr>
          <w:rFonts w:hint="eastAsia" w:ascii="SimSun" w:hAnsi="SimSun" w:eastAsia="SimSun" w:cs="SimSun"/>
          <w:b w:val="1"/>
          <w:color w:val="000000"/>
          <w:sz w:val="34"/>
        </w:rPr>
        <w:t>1 引言</w:t>
      </w:r>
      <w:bookmarkEnd w:id="2"/>
    </w:p>
    <w:p w14:paraId="00000026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3" w:name="section-1-1"/>
      <w:r>
        <w:rPr>
          <w:rFonts w:hint="eastAsia" w:ascii="SimSun" w:hAnsi="SimSun" w:eastAsia="SimSun" w:cs="SimSun"/>
          <w:b w:val="1"/>
          <w:color w:val="000000"/>
          <w:sz w:val="30"/>
        </w:rPr>
        <w:t>1.1 研究背景</w:t>
      </w:r>
      <w:bookmarkEnd w:id="3"/>
    </w:p>
    <w:p w14:paraId="00000027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A 股市场以散户主导、情绪驱动、风格切换频繁为特征，传统多因子模型（价值、成长、动量、质量、波动率等维度的人工因子合成）长期是量化选股的主流范式。其优势在于可解释性强、过拟合风险可控，但线性叠加难以刻画因子间的非线性交互与 regime 依赖关系。</w:t>
      </w:r>
    </w:p>
    <w:p w14:paraId="00000028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机器学习，尤其是梯度提升决策树（GBDT，含 XGBoost、LightGBM、CatBoost），因其天然的非线性拟合能力与对噪声的鲁棒性，近年在量化选股中快速渗透。微软开源的 Qlib 框架以 Alpha158/Alpha360 特征集与 LightGBM 基准，为业界提供了可复现的研究范式。</w:t>
      </w:r>
    </w:p>
    <w:p w14:paraId="00000029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4" w:name="section-1-2"/>
      <w:r>
        <w:rPr>
          <w:rFonts w:hint="eastAsia" w:ascii="SimSun" w:hAnsi="SimSun" w:eastAsia="SimSun" w:cs="SimSun"/>
          <w:b w:val="1"/>
          <w:color w:val="000000"/>
          <w:sz w:val="30"/>
        </w:rPr>
        <w:t>1.2 研究空白</w:t>
      </w:r>
      <w:bookmarkEnd w:id="4"/>
    </w:p>
    <w:p w14:paraId="0000002A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尽管学界与业界对"ML 是否优于多因子"已有大量研究，但结论常呈现两极化：乐观者强调 IC 与夏普的提升，审慎者指出样本外统计显著性不足。更为关键的是，多数公开结论基于特定数据接口与特征工程，难以直接迁移到具体个人研究工具的既定 14 因子体系——即"ML 是否在已调好的多因子之上仍有增量"，这一问题的答案高度依赖具体实现。</w:t>
      </w:r>
    </w:p>
    <w:p w14:paraId="0000002B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5" w:name="section-1-3"/>
      <w:r>
        <w:rPr>
          <w:rFonts w:hint="eastAsia" w:ascii="SimSun" w:hAnsi="SimSun" w:eastAsia="SimSun" w:cs="SimSun"/>
          <w:b w:val="1"/>
          <w:color w:val="000000"/>
          <w:sz w:val="30"/>
        </w:rPr>
        <w:t>1.3 研究目的与贡献</w:t>
      </w:r>
      <w:bookmarkEnd w:id="5"/>
    </w:p>
    <w:p w14:paraId="0000002C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本文的目的不是重复验证 ML 的能力边界，而是回答一个工程落地问题：在 SAS 既有 14 因子体系上，引入 LightGBM 打分层能否、以及如何以可控风险带来可验证的增益？主要贡献为：(1) 建立可复现的随机分段验收协议，以配对中位差为采纳标准；(2) 实证对比线性层、纯 LightGBM 层、融合层、行业中性层的增益与风险属性；(3) 将自有结论与学界/业界共识对齐，给出"采纳候选 + 监控"的落地建议。</w:t>
      </w:r>
    </w:p>
    <w:p w14:paraId="0000002D">
      <w:pPr>
        <w:pStyle w:val="000003"/>
        <w:keepNext w:val="1"/>
        <w:keepLines w:val="1"/>
        <w:spacing w:before="270" w:beforeAutospacing="1" w:after="180" w:afterAutospacing="1" w:line="432"/>
        <w:ind w:left="0" w:right="0"/>
        <w:jc w:val="center"/>
        <w:outlineLvl w:val="0"/>
        <w:rPr>
          <w:color w:val="000000"/>
          <w:kern w:val="44"/>
          <w:sz w:val="44"/>
          <w:szCs w:val="44"/>
        </w:rPr>
      </w:pPr>
      <w:bookmarkStart w:id="6" w:name="section-2"/>
      <w:r>
        <w:rPr>
          <w:rFonts w:hint="eastAsia" w:ascii="SimSun" w:hAnsi="SimSun" w:eastAsia="SimSun" w:cs="SimSun"/>
          <w:b w:val="1"/>
          <w:color w:val="000000"/>
          <w:sz w:val="34"/>
        </w:rPr>
        <w:t>2 文献综述与业界共识</w:t>
      </w:r>
      <w:bookmarkEnd w:id="6"/>
    </w:p>
    <w:p w14:paraId="0000002E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7" w:name="section-2-1"/>
      <w:r>
        <w:rPr>
          <w:rFonts w:hint="eastAsia" w:ascii="SimSun" w:hAnsi="SimSun" w:eastAsia="SimSun" w:cs="SimSun"/>
          <w:b w:val="1"/>
          <w:color w:val="000000"/>
          <w:sz w:val="30"/>
        </w:rPr>
        <w:t>2.1 国际学术锚点</w:t>
      </w:r>
      <w:bookmarkEnd w:id="7"/>
    </w:p>
    <w:p w14:paraId="0000002F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Gu、Kelly 与 Xiu（2020，Review of Financial Studies）以约 94 个公司特征、近 60 年美股数据，系统对比线性回归、正则化线性方法、随机森林、梯度提升树与神经网络。核心发现：树模型与神经网络把样本外 R² 较 OLS 大致翻倍，但绝对预测力仍微弱（月度 R² 量级约 0.4%）；梯度提升回归树在所有方法中取得最大的样本外 R² 改进，神经网络边际增益有限。</w:t>
      </w:r>
    </w:p>
    <w:p w14:paraId="00000030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8" w:name="section-2-2"/>
      <w:r>
        <w:rPr>
          <w:rFonts w:hint="eastAsia" w:ascii="SimSun" w:hAnsi="SimSun" w:eastAsia="SimSun" w:cs="SimSun"/>
          <w:b w:val="1"/>
          <w:color w:val="000000"/>
          <w:sz w:val="30"/>
        </w:rPr>
        <w:t>2.2 业界基准（微软 Qlib）</w:t>
      </w:r>
      <w:bookmarkEnd w:id="8"/>
    </w:p>
    <w:p w14:paraId="00000031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Qlib 在 A 股 Alpha158 数据集上的官方基准显示：Linear 的 Rank IC 0.0475、年化 7.95%；LightGBM Rank IC 0.0485、年化 11.43%、信息比率 1.27、最大回撤 −8.0%；在中证 500 上 LightGBM 年化达 12.84%、信息比率 1.57。集成方法 DoubleEnsemble（ICDM 2020）以年化 11.58%、信息比率 1.34 居首。MLP/LSTM/Transformer 等深度学习模型在表格数据上整体不及树模型。</w:t>
      </w:r>
    </w:p>
    <w:p w14:paraId="00000032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9" w:name="section-2-3"/>
      <w:r>
        <w:rPr>
          <w:rFonts w:hint="eastAsia" w:ascii="SimSun" w:hAnsi="SimSun" w:eastAsia="SimSun" w:cs="SimSun"/>
          <w:b w:val="1"/>
          <w:color w:val="000000"/>
          <w:sz w:val="30"/>
        </w:rPr>
        <w:t>2.3 国内实证</w:t>
      </w:r>
      <w:bookmarkEnd w:id="9"/>
    </w:p>
    <w:p w14:paraId="00000033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一项覆盖 2020–2024 年 5648 只 A 股的对比研究指出，非线性模型（LightGBM/随机森林）Rank IC 约 0.02–0.03，高于 LASSO/Ridge，但 t 统计量未达传统显著水平，"信号经济上有方向性，但统计稳健性仍有限"。申万宏源（2026）以 105 个特征的 LightGBM（IC 0.0754）对比线性模型（0.0594），并将视觉大模型 ViT 提取的、与数值因子正交的增量信息以残差相加，在中证 500 内实现费后年化超额 9.40%（纯 GBM 8.05%）。</w:t>
      </w:r>
    </w:p>
    <w:p w14:paraId="00000034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10" w:name="section-2-4"/>
      <w:r>
        <w:rPr>
          <w:rFonts w:hint="eastAsia" w:ascii="SimSun" w:hAnsi="SimSun" w:eastAsia="SimSun" w:cs="SimSun"/>
          <w:b w:val="1"/>
          <w:color w:val="000000"/>
          <w:sz w:val="30"/>
        </w:rPr>
        <w:t>2.4 共识提炼</w:t>
      </w:r>
      <w:bookmarkEnd w:id="10"/>
    </w:p>
    <w:p w14:paraId="00000035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综合上述，可提炼出五点成熟共识：(1) GBDT/LightGBM 在 A 股截面预测上稳定优于线性多因子，属已定论；(2) 但边际优势中等且统计不硬；(3) 最佳实践是"增强/集成"而非"纯替代"；(4) 表格数据上树模型优于深度学习；(5) 严格的时序交叉验证与行业/风格中性化是防过拟合刚需。</w:t>
      </w:r>
    </w:p>
    <w:p w14:paraId="00000036">
      <w:pPr>
        <w:pStyle w:val="000003"/>
        <w:keepNext w:val="1"/>
        <w:keepLines w:val="1"/>
        <w:spacing w:before="270" w:beforeAutospacing="1" w:after="180" w:afterAutospacing="1" w:line="432"/>
        <w:ind w:left="0" w:right="0"/>
        <w:jc w:val="center"/>
        <w:outlineLvl w:val="0"/>
        <w:rPr>
          <w:color w:val="000000"/>
          <w:kern w:val="44"/>
          <w:sz w:val="44"/>
          <w:szCs w:val="44"/>
        </w:rPr>
      </w:pPr>
      <w:bookmarkStart w:id="11" w:name="section-3"/>
      <w:r>
        <w:rPr>
          <w:rFonts w:hint="eastAsia" w:ascii="SimSun" w:hAnsi="SimSun" w:eastAsia="SimSun" w:cs="SimSun"/>
          <w:b w:val="1"/>
          <w:color w:val="000000"/>
          <w:sz w:val="34"/>
        </w:rPr>
        <w:t>3 研究方法与数据</w:t>
      </w:r>
      <w:bookmarkEnd w:id="11"/>
    </w:p>
    <w:p w14:paraId="00000037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12" w:name="section-3-1"/>
      <w:r>
        <w:rPr>
          <w:rFonts w:hint="eastAsia" w:ascii="SimSun" w:hAnsi="SimSun" w:eastAsia="SimSun" w:cs="SimSun"/>
          <w:b w:val="1"/>
          <w:color w:val="000000"/>
          <w:sz w:val="30"/>
        </w:rPr>
        <w:t>3.1 系统架构</w:t>
      </w:r>
      <w:bookmarkEnd w:id="12"/>
    </w:p>
    <w:p w14:paraId="00000038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SAS 采用分层架构：实时行情层负责监控；技术指标层（factors.py）计算 14 因子并给出 ±100 打分；回测层（pipeline.py）支持多种打分模式；模拟交易层（recommender.py / paper 引擎）消费打分结果。本文的机器学习打分层通过 ml_scorer.py 注入，复用回测层的验收协议。</w:t>
      </w:r>
    </w:p>
    <w:p w14:paraId="00000039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13" w:name="section-3-2"/>
      <w:r>
        <w:rPr>
          <w:rFonts w:hint="eastAsia" w:ascii="SimSun" w:hAnsi="SimSun" w:eastAsia="SimSun" w:cs="SimSun"/>
          <w:b w:val="1"/>
          <w:color w:val="000000"/>
          <w:sz w:val="30"/>
        </w:rPr>
        <w:t>3.2 多因子控制组</w:t>
      </w:r>
      <w:bookmarkEnd w:id="13"/>
    </w:p>
    <w:p w14:paraId="0000003A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控制组为系统默认的 14 因子体系，涵盖估值、质量、成长、动量、波动、情绪六大类，其中 B3 gain20（20 日涨幅，权重 7）与 D1 atr（波动率，权重 5）提供时序版动量与低波动信号。买入判定阈值为 paper_half_score=25 / paper_full_score=40。</w:t>
      </w:r>
    </w:p>
    <w:p w14:paraId="0000003B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14" w:name="section-3-3"/>
      <w:r>
        <w:rPr>
          <w:rFonts w:hint="eastAsia" w:ascii="SimSun" w:hAnsi="SimSun" w:eastAsia="SimSun" w:cs="SimSun"/>
          <w:b w:val="1"/>
          <w:color w:val="000000"/>
          <w:sz w:val="30"/>
        </w:rPr>
        <w:t>3.3 机器学习打分层</w:t>
      </w:r>
      <w:bookmarkEnd w:id="14"/>
    </w:p>
    <w:p w14:paraId="0000003C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打分层 build_ml_predictions 的关键设计如下：(1) 特征工程：Alpha158 风格约 65 个特征，覆盖收益、均线偏离、量能、波动率、高低通道、ATR、跳空、影线、RSI、量价相关等多家族，全部无未来函数；(2) 模型：LightGBM 回归器（环境缺包时优雅回退 Ridge）；(3) 验证纪律：Purged Group 时序交叉验证选参（num_leaves/learning_rate），逐段报告 OOS rank-IC，OOS IC≤0 的整段回退到 14 因子（不注入噪声）；(4) 中性化：每日截面内扣减行业（或板块）均值再排分位，行业映射缺失时自动回退板块中性（主板/创业板/科创板/北交所）。</w:t>
      </w:r>
    </w:p>
    <w:p w14:paraId="0000003D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15" w:name="section-3-4"/>
      <w:r>
        <w:rPr>
          <w:rFonts w:hint="eastAsia" w:ascii="SimSun" w:hAnsi="SimSun" w:eastAsia="SimSun" w:cs="SimSun"/>
          <w:b w:val="1"/>
          <w:color w:val="000000"/>
          <w:sz w:val="30"/>
        </w:rPr>
        <w:t>3.4 验收协议</w:t>
      </w:r>
      <w:bookmarkEnd w:id="15"/>
    </w:p>
    <w:p w14:paraId="0000003E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采用随机分段协议：脚本 random_dist.py，冻结随机种子 20261028，生成 18 段互不重叠、每段 21 交易日的样本区间，覆盖 2023-05 至 2025-12；每段的候选方案与 default 控制组在同段、同股票池（Top300）下配对相减。判定线为配对中位差值 &gt; 3.5pp（21 天窗口），该阈值由项目早期验收协议（#68）设定，用于区分真实效应与度量噪声。</w:t>
      </w:r>
    </w:p>
    <w:p w14:paraId="0000003F">
      <w:pPr>
        <w:pStyle w:val="000003"/>
        <w:keepNext w:val="1"/>
        <w:keepLines w:val="1"/>
        <w:spacing w:before="270" w:beforeAutospacing="1" w:after="180" w:afterAutospacing="1" w:line="432"/>
        <w:ind w:left="0" w:right="0"/>
        <w:jc w:val="center"/>
        <w:outlineLvl w:val="0"/>
        <w:rPr>
          <w:color w:val="000000"/>
          <w:kern w:val="44"/>
          <w:sz w:val="44"/>
          <w:szCs w:val="44"/>
        </w:rPr>
      </w:pPr>
      <w:bookmarkStart w:id="16" w:name="section-4"/>
      <w:r>
        <w:rPr>
          <w:rFonts w:hint="eastAsia" w:ascii="SimSun" w:hAnsi="SimSun" w:eastAsia="SimSun" w:cs="SimSun"/>
          <w:b w:val="1"/>
          <w:color w:val="000000"/>
          <w:sz w:val="34"/>
        </w:rPr>
        <w:t>4 实证结果</w:t>
      </w:r>
      <w:bookmarkEnd w:id="16"/>
    </w:p>
    <w:p w14:paraId="00000040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17" w:name="section-4-1"/>
      <w:r>
        <w:rPr>
          <w:rFonts w:hint="eastAsia" w:ascii="SimSun" w:hAnsi="SimSun" w:eastAsia="SimSun" w:cs="SimSun"/>
          <w:b w:val="1"/>
          <w:color w:val="000000"/>
          <w:sz w:val="30"/>
        </w:rPr>
        <w:t>4.1 线性 Ridge 层（A-minus，#74）</w:t>
      </w:r>
      <w:bookmarkEnd w:id="17"/>
    </w:p>
    <w:p w14:paraId="00000041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作为对照基线，先以零依赖 Ridge 回归做线性截面排序层（沙箱无网时的降级方案）。结果（表 1）：ml_default 配对中位 −0.33pp、赢段占比 44%，远未达 3.5pp 线；ml_blend 更差（−0.43pp）。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42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方案</w:t>
            </w:r>
          </w:p>
        </w:tc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43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中位差</w:t>
            </w:r>
          </w:p>
        </w:tc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44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均值差</w:t>
            </w:r>
          </w:p>
        </w:tc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45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赢段占比</w:t>
            </w:r>
          </w:p>
        </w:tc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46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最差配对</w:t>
            </w:r>
          </w:p>
        </w:tc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47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是否过线</w:t>
            </w:r>
          </w:p>
        </w:tc>
      </w:tr>
      <w:tr>
        <w:trPr/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48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ml_default</w:t>
            </w:r>
          </w:p>
        </w:tc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49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−0.33pp</w:t>
            </w:r>
          </w:p>
        </w:tc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4A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+1.11pp</w:t>
            </w:r>
          </w:p>
        </w:tc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4B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44%</w:t>
            </w:r>
          </w:p>
        </w:tc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4C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−17.92pp</w:t>
            </w:r>
          </w:p>
        </w:tc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4D">
            <w:pPr>
              <w:jc w:val="center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0"/>
              </w:rPr>
              <w:t>否</w:t>
            </w:r>
          </w:p>
        </w:tc>
      </w:tr>
      <w:tr>
        <w:trPr/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4E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ml_blend</w:t>
            </w:r>
          </w:p>
        </w:tc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4F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−0.43pp</w:t>
            </w:r>
          </w:p>
        </w:tc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50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−0.89pp</w:t>
            </w:r>
          </w:p>
        </w:tc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51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44%</w:t>
            </w:r>
          </w:p>
        </w:tc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52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−12.19pp</w:t>
            </w:r>
          </w:p>
        </w:tc>
        <w:tc>
          <w:tcPr>
            <w:tcW w:w="13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53">
            <w:pPr>
              <w:jc w:val="center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0"/>
              </w:rPr>
              <w:t>否</w:t>
            </w:r>
          </w:p>
        </w:tc>
      </w:tr>
    </w:tbl>
    <w:p w14:paraId="00000054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然而，该层暴露出一个有价值的次要发现：它是"风险阻尼器"而非"alpha 增强器"。下行显著收紧——25 分位 default 约 −4.63% vs ml_default 约 −1.09%（约 3.5pp 更窄），最差段 −11.44% → −9.27%。这说明线性 ML 层虽未提升收益，却系统性压低了尾部风险。</w:t>
      </w:r>
    </w:p>
    <w:p w14:paraId="00000055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18" w:name="section-4-2"/>
      <w:r>
        <w:rPr>
          <w:rFonts w:hint="eastAsia" w:ascii="SimSun" w:hAnsi="SimSun" w:eastAsia="SimSun" w:cs="SimSun"/>
          <w:b w:val="1"/>
          <w:color w:val="000000"/>
          <w:sz w:val="30"/>
        </w:rPr>
        <w:t>4.2 LightGBM 完整版（#76）</w:t>
      </w:r>
      <w:bookmarkEnd w:id="18"/>
    </w:p>
    <w:p w14:paraId="00000056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将模型升级为 LightGBM（4.7.0）、特征扩至 65 个、加入行业内中性化后重新验收（表 2、表 3）。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57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方案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58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中位超额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59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25 分位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5A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75 分位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5B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最差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5C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最好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5D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超额&gt;0</w:t>
            </w:r>
          </w:p>
        </w:tc>
      </w:tr>
      <w:tr>
        <w:trPr/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5E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default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5F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+1.11%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0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−6.76%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1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+6.20%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2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−11.44%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3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+21.77%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4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66.7%</w:t>
            </w:r>
          </w:p>
        </w:tc>
      </w:tr>
      <w:tr>
        <w:trPr/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5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ml_lgb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6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+7.16%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7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+2.32%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8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+9.17%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9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−5.07%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A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+20.93%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B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83.3%</w:t>
            </w:r>
          </w:p>
        </w:tc>
      </w:tr>
      <w:tr>
        <w:trPr/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C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ml_lgb_blend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D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+5.72%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E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−3.89%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6F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+9.00%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70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−5.77%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71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+20.56%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72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72.2%</w:t>
            </w:r>
          </w:p>
        </w:tc>
      </w:tr>
      <w:tr>
        <w:trPr/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73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ml_lgb_ind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74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+6.12%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75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+1.04%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76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+11.52%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77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−7.88%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78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+20.77%</w:t>
            </w:r>
          </w:p>
        </w:tc>
        <w:tc>
          <w:tcPr>
            <w:tcW w:w="11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79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83.3%</w:t>
            </w:r>
          </w:p>
        </w:tc>
      </w:tr>
    </w:tbl>
    <w:p w14:paraId="0000007A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7B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方案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7C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段数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7D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中位差值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7E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&gt;0 段占比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7F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0"/>
              </w:rPr>
              <w:t>有信号段赢率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80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ml_lgb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81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18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82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0"/>
              </w:rPr>
              <w:t>+4.55%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83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61.1%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84">
            <w:pPr>
              <w:jc w:val="center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0"/>
              </w:rPr>
              <w:t>16 段有信号，赢 11（68.8%）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85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ml_lgb_blend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86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18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87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+2.95%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88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61.1%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89">
            <w:pPr>
              <w:jc w:val="center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0"/>
              </w:rPr>
              <w:t>16 段有信号，赢 11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8A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ml_lgb_ind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8B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18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8C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+3.95%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8D">
            <w:pPr>
              <w:jc w:val="center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0"/>
              </w:rPr>
              <w:t>66.7%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8E">
            <w:pPr>
              <w:jc w:val="center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0"/>
              </w:rPr>
              <w:t>16 段有信号，赢 12（75.0%）</w:t>
            </w:r>
          </w:p>
        </w:tc>
      </w:tr>
    </w:tbl>
    <w:p w14:paraId="0000008F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核心结论：ml_lgb 配对中位 +4.55% &gt; 3.5pp 显著线，形式通过；ml_lgb_ind（+3.95%）同样过线（但仅板块中性兜底，非真行业中性）；ml_lgb_blend（+2.95%）未过线——朴素 0.5 融合反而稀释 ML 优势，纯 ML 优于融合。18 段中有 2 段因 OOS IC≤0 整段回退 14 因子，配对差=0，验证了回退纪律的安全性。</w:t>
      </w:r>
    </w:p>
    <w:p w14:paraId="00000090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19" w:name="section-4-3"/>
      <w:r>
        <w:rPr>
          <w:rFonts w:hint="eastAsia" w:ascii="SimSun" w:hAnsi="SimSun" w:eastAsia="SimSun" w:cs="SimSun"/>
          <w:b w:val="1"/>
          <w:color w:val="000000"/>
          <w:sz w:val="30"/>
        </w:rPr>
        <w:t>4.3 统计显著性</w:t>
      </w:r>
      <w:bookmarkEnd w:id="19"/>
    </w:p>
    <w:p w14:paraId="00000091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ml_lgb 点估计清过线，但在 18 段样本下统计置信度中等：bootstrap 中位 95% 置信区间约 [−0.2%, +9.8%]（下界贴 0），符号检验单侧 p=0.24（11/18 赢，未达 p&lt;0.05）。</w:t>
      </w:r>
    </w:p>
    <w:p w14:paraId="00000092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20" w:name="section-4-4"/>
      <w:r>
        <w:rPr>
          <w:rFonts w:hint="eastAsia" w:ascii="SimSun" w:hAnsi="SimSun" w:eastAsia="SimSun" w:cs="SimSun"/>
          <w:b w:val="1"/>
          <w:color w:val="000000"/>
          <w:sz w:val="30"/>
        </w:rPr>
        <w:t>4.4 与线性层对比</w:t>
      </w:r>
      <w:bookmarkEnd w:id="20"/>
    </w:p>
    <w:p w14:paraId="00000093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线性 Ridge 层配对中位 −0.33pp、赢率 44%；LightGBM 非线性 + 65 特征配对中位 +4.55%、赢率 61%。这表明线性模型漏掉的信号被非线性 LightGBM 捕获，Alpha158 风格特征集显著优于 A-minus 的 Alpha158-lite。</w:t>
      </w:r>
    </w:p>
    <w:p w14:paraId="00000094">
      <w:pPr>
        <w:pStyle w:val="000003"/>
        <w:keepNext w:val="1"/>
        <w:keepLines w:val="1"/>
        <w:spacing w:before="270" w:beforeAutospacing="1" w:after="180" w:afterAutospacing="1" w:line="432"/>
        <w:ind w:left="0" w:right="0"/>
        <w:jc w:val="center"/>
        <w:outlineLvl w:val="0"/>
        <w:rPr>
          <w:color w:val="000000"/>
          <w:kern w:val="44"/>
          <w:sz w:val="44"/>
          <w:szCs w:val="44"/>
        </w:rPr>
      </w:pPr>
      <w:bookmarkStart w:id="21" w:name="section-5"/>
      <w:r>
        <w:rPr>
          <w:rFonts w:hint="eastAsia" w:ascii="SimSun" w:hAnsi="SimSun" w:eastAsia="SimSun" w:cs="SimSun"/>
          <w:b w:val="1"/>
          <w:color w:val="000000"/>
          <w:sz w:val="34"/>
        </w:rPr>
        <w:t>5 讨论</w:t>
      </w:r>
      <w:bookmarkEnd w:id="21"/>
    </w:p>
    <w:p w14:paraId="00000095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22" w:name="section-5-1"/>
      <w:r>
        <w:rPr>
          <w:rFonts w:hint="eastAsia" w:ascii="SimSun" w:hAnsi="SimSun" w:eastAsia="SimSun" w:cs="SimSun"/>
          <w:b w:val="1"/>
          <w:color w:val="000000"/>
          <w:sz w:val="30"/>
        </w:rPr>
        <w:t>5.1 结果解释</w:t>
      </w:r>
      <w:bookmarkEnd w:id="22"/>
    </w:p>
    <w:p w14:paraId="00000096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LightGBM 的优势来自其对因子间条件交互的刻画能力——例如"高动量且低波动"的组合可能比两者线性相加更具预测力，而树模型能在特征空间内分区学习此类规则。这与 Gu-Kelly-Xiu（2020）关于树模型捕获 conditional relationship 的论断一致。</w:t>
      </w:r>
    </w:p>
    <w:p w14:paraId="00000097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23" w:name="section-5-2"/>
      <w:r>
        <w:rPr>
          <w:rFonts w:hint="eastAsia" w:ascii="SimSun" w:hAnsi="SimSun" w:eastAsia="SimSun" w:cs="SimSun"/>
          <w:b w:val="1"/>
          <w:color w:val="000000"/>
          <w:sz w:val="30"/>
        </w:rPr>
        <w:t>5.2 与学界共识对齐</w:t>
      </w:r>
      <w:bookmarkEnd w:id="23"/>
    </w:p>
    <w:p w14:paraId="00000098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本文自有结论与第 2 节共识高度吻合：(1) GBDT 优于线性多因子（本文 +4.55% vs Ridge −0.33pp）；(2) 优势中等且统计不硬（p=0.24）；(3) 朴素融合稀释、需精细集成（与 DoubleEnsemble 优于朴素平均一致）；(4) 表格数据树模型占优（未采用深度学习）。这印证了"方向已由学界定论，但具体实现需自行验证"的判断。</w:t>
      </w:r>
    </w:p>
    <w:p w14:paraId="00000099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24" w:name="section-5-3"/>
      <w:r>
        <w:rPr>
          <w:rFonts w:hint="eastAsia" w:ascii="SimSun" w:hAnsi="SimSun" w:eastAsia="SimSun" w:cs="SimSun"/>
          <w:b w:val="1"/>
          <w:color w:val="000000"/>
          <w:sz w:val="30"/>
        </w:rPr>
        <w:t>5.3 实践意义</w:t>
      </w:r>
      <w:bookmarkEnd w:id="24"/>
    </w:p>
    <w:p w14:paraId="0000009A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对工程落地而言，结论意味着：不应以 ML"替换"多因子，而应以 ML 作为打分层的候选增强，保留多因子作为基线与安全网。回退纪律（OOS IC≤0 自动回退）使该层在信号缺失时不会注入噪声，下行风险可控。</w:t>
      </w:r>
    </w:p>
    <w:p w14:paraId="0000009B">
      <w:pPr>
        <w:pStyle w:val="000004"/>
        <w:keepNext w:val="1"/>
        <w:keepLines w:val="1"/>
        <w:spacing w:before="240" w:beforeAutospacing="1" w:after="120" w:afterAutospacing="1" w:line="432"/>
        <w:ind w:left="0" w:right="0"/>
        <w:outlineLvl w:val="1"/>
        <w:rPr>
          <w:color w:val="000000"/>
          <w:sz w:val="32"/>
          <w:szCs w:val="32"/>
        </w:rPr>
      </w:pPr>
      <w:bookmarkStart w:id="25" w:name="section-5-4"/>
      <w:r>
        <w:rPr>
          <w:rFonts w:hint="eastAsia" w:ascii="SimSun" w:hAnsi="SimSun" w:eastAsia="SimSun" w:cs="SimSun"/>
          <w:b w:val="1"/>
          <w:color w:val="000000"/>
          <w:sz w:val="30"/>
        </w:rPr>
        <w:t>5.4 局限性</w:t>
      </w:r>
      <w:bookmarkEnd w:id="25"/>
    </w:p>
    <w:p w14:paraId="0000009C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(1) 样本为 18 段，置信度中等，需更大样本与多种子复验；(2) 行业中性在实验中回退为板块中性（缺少真实行业映射），真行业中性效果待补；(3) 模拟盘实时打分仅在自选股+持仓（通常 &lt;50 只）上训练，训练集小于回测 Top300，截面分位在该集合内归一化，模型质量与回测同构但不完全等同。</w:t>
      </w:r>
    </w:p>
    <w:p w14:paraId="0000009D">
      <w:pPr>
        <w:pStyle w:val="000003"/>
        <w:keepNext w:val="1"/>
        <w:keepLines w:val="1"/>
        <w:spacing w:before="270" w:beforeAutospacing="1" w:after="180" w:afterAutospacing="1" w:line="432"/>
        <w:ind w:left="0" w:right="0"/>
        <w:jc w:val="center"/>
        <w:outlineLvl w:val="0"/>
        <w:rPr>
          <w:color w:val="000000"/>
          <w:kern w:val="44"/>
          <w:sz w:val="44"/>
          <w:szCs w:val="44"/>
        </w:rPr>
      </w:pPr>
      <w:bookmarkStart w:id="26" w:name="section-6"/>
      <w:r>
        <w:rPr>
          <w:rFonts w:hint="eastAsia" w:ascii="SimSun" w:hAnsi="SimSun" w:eastAsia="SimSun" w:cs="SimSun"/>
          <w:b w:val="1"/>
          <w:color w:val="000000"/>
          <w:sz w:val="34"/>
        </w:rPr>
        <w:t>6 落地与部署</w:t>
      </w:r>
      <w:bookmarkEnd w:id="26"/>
    </w:p>
    <w:p w14:paraId="0000009E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基于"采纳候选 + 监控"原则，将 LightGBM 层以 default_ml 配置接入系统：(1) 生产候选配置：default_ml = LightGBM 打分 + 因子回退兜底，其余完全继承 default，未覆盖原 default 以保留对照基线；(2) 影子账户前向验证：.env 设 SHADOW_PROFILES=default,default_ml，每日 16:45 同时重跑两组并落 shadow_live.json，起点 2026-11-02，首个可比判读约 2026-12-01；(3) 模拟盘实时打分：.env 设 LIVE_ML_SCORING=true，由 recommender.py 接入 ml_scores——score 取 ML 截面分位（0–100），ML≥25 判买入，因子卖出信号优先，失败时自动回退 14 因子。该改动需重启服务使配置生效。</w:t>
      </w:r>
    </w:p>
    <w:p w14:paraId="0000009F">
      <w:pPr>
        <w:pStyle w:val="000003"/>
        <w:keepNext w:val="1"/>
        <w:keepLines w:val="1"/>
        <w:spacing w:before="270" w:beforeAutospacing="1" w:after="180" w:afterAutospacing="1" w:line="432"/>
        <w:ind w:left="0" w:right="0"/>
        <w:jc w:val="center"/>
        <w:outlineLvl w:val="0"/>
        <w:rPr>
          <w:color w:val="000000"/>
          <w:kern w:val="44"/>
          <w:sz w:val="44"/>
          <w:szCs w:val="44"/>
        </w:rPr>
      </w:pPr>
      <w:bookmarkStart w:id="27" w:name="section-7"/>
      <w:r>
        <w:rPr>
          <w:rFonts w:hint="eastAsia" w:ascii="SimSun" w:hAnsi="SimSun" w:eastAsia="SimSun" w:cs="SimSun"/>
          <w:b w:val="1"/>
          <w:color w:val="000000"/>
          <w:sz w:val="34"/>
        </w:rPr>
        <w:t>7 结论与展望</w:t>
      </w:r>
      <w:bookmarkEnd w:id="27"/>
    </w:p>
    <w:p w14:paraId="000000A0">
      <w:pPr>
        <w:spacing w:before="90" w:after="90" w:line="432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本文实证表明，在 SAS 既有 14 因子体系上引入 LightGBM 打分层，能在配对中位上显著优于控制组（+4.55% &gt; 3.5pp），并自带因子回退兜底与下行风险阻尼属性。但受限于样本量，统计置信度为中等，应作为生产候选而非唯一真理。后续工作包括：(1) 拉取真实行业映射后重测 ml_lgb_ind，检验真行业中性是否更优；(2) 以 DoubleEnsemble / 正交残差相加替代朴素融合，释放 ML 与多因子的协同增益；(3) 等待影子账户前向验证（约 2026-12-01）确认 live 数据复现回测正超额。</w:t>
      </w:r>
    </w:p>
    <w:p w14:paraId="000000A1">
      <w:pPr>
        <w:pStyle w:val="000003"/>
        <w:keepNext w:val="1"/>
        <w:keepLines w:val="1"/>
        <w:spacing w:before="270" w:beforeAutospacing="1" w:after="180" w:afterAutospacing="1" w:line="432"/>
        <w:ind w:left="0" w:right="0"/>
        <w:jc w:val="center"/>
        <w:outlineLvl w:val="0"/>
        <w:rPr>
          <w:color w:val="000000"/>
          <w:kern w:val="44"/>
          <w:sz w:val="44"/>
          <w:szCs w:val="44"/>
        </w:rPr>
      </w:pPr>
      <w:bookmarkStart w:id="28" w:name="section-8"/>
      <w:r>
        <w:rPr>
          <w:rFonts w:hint="eastAsia" w:ascii="SimSun" w:hAnsi="SimSun" w:eastAsia="SimSun" w:cs="SimSun"/>
          <w:b w:val="1"/>
          <w:color w:val="000000"/>
          <w:sz w:val="34"/>
        </w:rPr>
        <w:t>参考文献</w:t>
      </w:r>
      <w:bookmarkEnd w:id="28"/>
    </w:p>
    <w:p w14:paraId="000000A2">
      <w:pPr>
        <w:spacing w:before="90" w:after="90" w:line="432"/>
        <w:ind w:left="0" w:right="0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>[1] Gu S, Kelly B, Xiu D. Empirical Asset Pricing via Machine Learning[J]. Review of Financial Studies, 2020.</w:t>
      </w:r>
    </w:p>
    <w:p w14:paraId="000000A3">
      <w:pPr>
        <w:spacing w:before="90" w:after="90" w:line="432"/>
        <w:ind w:left="0" w:right="0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>[2] Microsoft Research. Qlib Benchmarks: Alpha158 / Alpha360 with China A-share &amp; CSI300 Data[EB/OL]. https://github.com/microsoft/qlib.</w:t>
      </w:r>
    </w:p>
    <w:p w14:paraId="000000A4">
      <w:pPr>
        <w:spacing w:before="90" w:after="90" w:line="432"/>
        <w:ind w:left="0" w:right="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[3] 申万宏源金融工程. 申万金工因子观察第 13 期：视觉大模型 ViT 在量化选股上的探索[R]. 2026.</w:t>
      </w:r>
    </w:p>
    <w:p w14:paraId="000000A5">
      <w:pPr>
        <w:spacing w:before="90" w:after="90" w:line="432"/>
        <w:ind w:left="0" w:right="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[4] 国金证券金融工程. 智能化选基系列之六：如何用 AI 选出持续跑赢市场的基金[R].</w:t>
      </w:r>
    </w:p>
    <w:p w14:paraId="000000A6">
      <w:pPr>
        <w:spacing w:before="90" w:after="90" w:line="432"/>
        <w:ind w:left="0" w:right="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[5] 基于 Boosting 算法的多因子量化选股实证研究[D]. 硕士学位论文.</w:t>
      </w:r>
    </w:p>
    <w:p w14:paraId="000000A7">
      <w:pPr>
        <w:spacing w:before="90" w:after="90" w:line="432"/>
        <w:ind w:left="0" w:right="0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>[6] A Comparative Study and Backtesting of Machine Learning-Based Quantitative Stock Selection Models in China's A-Share Market[C]. Advances in Economics, Management and Political Sciences, 2026.</w:t>
      </w:r>
    </w:p>
    <w:p w14:paraId="000000A8">
      <w:pPr/>
    </w:p>
    <w:sectPr>
      <w:footerReference r:id="rId4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0A9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7" w:semiHidden="1" w:unhideWhenUsed="1"/>
    <w:lsdException w:name="Body Text 3" w:semiHidden="1" w:unhideWhenUsed="1"/>
    <w:lsdException w:name="header" w:semiHidden="1" w:unhideWhenUsed="1"/>
    <w:lsdException w:name="macro" w:semiHidden="1" w:unhideWhenUsed="1"/>
    <w:lsdException w:name="heading 7" w:uiPriority="9" w:semiHidden="1" w:unhideWhenUsed="1" w:qFormat="1"/>
    <w:lsdException w:name="Default Paragraph Font" w:uiPriority="1" w:semiHidden="1" w:unhideWhenUsed="1"/>
    <w:lsdException w:name="footnote reference" w:semiHidden="1" w:unhideWhenUsed="1"/>
    <w:lsdException w:name="Title" w:uiPriority="10" w:qFormat="1"/>
    <w:lsdException w:name="annotation text" w:semiHidden="1" w:unhideWhenUsed="1"/>
    <w:lsdException w:name="Body Text First Indent" w:semiHidden="1" w:unhideWhenUsed="1"/>
    <w:lsdException w:name="index 8" w:semiHidden="1" w:unhideWhenUsed="1"/>
    <w:lsdException w:name="index 2" w:semiHidden="1" w:unhideWhenUsed="1"/>
    <w:lsdException w:name="List Number 4" w:semiHidden="1" w:unhideWhenUsed="1"/>
    <w:lsdException w:name="List Bullet 2" w:semiHidden="1" w:unhideWhenUsed="1"/>
    <w:lsdException w:name="page number" w:semiHidden="1" w:unhideWhenUsed="1"/>
    <w:lsdException w:name="Strong" w:uiPriority="22" w:qFormat="1"/>
    <w:lsdException w:name="endnote text" w:semiHidden="1" w:unhideWhenUsed="1"/>
    <w:lsdException w:name="List Continue 4" w:semiHidden="1" w:unhideWhenUsed="1"/>
    <w:lsdException w:name="Block Text" w:semiHidden="1" w:unhideWhenUsed="1"/>
    <w:lsdException w:name="index 1" w:semiHidden="1" w:unhideWhenUsed="1"/>
    <w:lsdException w:name="line number" w:semiHidden="1" w:unhideWhenUsed="1"/>
    <w:lsdException w:name="table of authorities" w:semiHidden="1" w:unhideWhenUsed="1"/>
    <w:lsdException w:name="index 9" w:semiHidden="1" w:unhideWhenUsed="1"/>
    <w:lsdException w:name="List 2" w:semiHidden="1" w:unhideWhenUsed="1"/>
    <w:lsdException w:name="Hyperlink" w:semiHidden="1" w:unhideWhenUsed="1"/>
    <w:lsdException w:name="Body Text 2" w:semiHidden="1" w:unhideWhenUsed="1"/>
    <w:lsdException w:name="List Number 3" w:semiHidden="1" w:unhideWhenUsed="1"/>
    <w:lsdException w:name="Body Text Indent 2" w:semiHidden="1" w:unhideWhenUsed="1"/>
    <w:lsdException w:name="List Continue 2" w:semiHidden="1" w:unhideWhenUsed="1"/>
    <w:lsdException w:name="toc 9" w:uiPriority="39" w:semiHidden="1" w:unhideWhenUsed="1"/>
    <w:lsdException w:name="Body Text Indent" w:semiHidden="1" w:unhideWhenUsed="1"/>
    <w:lsdException w:name="Body Text First Indent 2" w:semiHidden="1" w:unhideWhenUsed="1"/>
    <w:lsdException w:name="caption" w:uiPriority="35" w:semiHidden="1" w:unhideWhenUsed="1" w:qFormat="1"/>
    <w:lsdException w:name="index 6" w:semiHidden="1" w:unhideWhenUsed="1"/>
    <w:lsdException w:name="Closing" w:semiHidden="1" w:unhideWhenUsed="1"/>
    <w:lsdException w:name="List 5" w:semiHidden="1" w:unhideWhenUsed="1"/>
    <w:lsdException w:name="index 4" w:semiHidden="1" w:unhideWhenUsed="1"/>
    <w:lsdException w:name="heading 4" w:uiPriority="9" w:semiHidden="1" w:unhideWhenUsed="1" w:qFormat="1"/>
    <w:lsdException w:name="heading 1" w:uiPriority="9" w:qFormat="1"/>
    <w:lsdException w:name="Body Text Indent 3" w:semiHidden="1" w:unhideWhenUsed="1"/>
    <w:lsdException w:name="toc 4" w:uiPriority="39" w:semiHidden="1" w:unhideWhenUsed="1"/>
    <w:lsdException w:name="List Bullet 4" w:semiHidden="1" w:unhideWhenUsed="1"/>
    <w:lsdException w:name="Body Text" w:semiHidden="1" w:unhideWhenUsed="1"/>
    <w:lsdException w:name="Salutation" w:semiHidden="1" w:unhideWhenUsed="1"/>
    <w:lsdException w:name="index 3" w:semiHidden="1" w:unhideWhenUsed="1"/>
    <w:lsdException w:name="footer" w:semiHidden="1" w:unhideWhenUsed="1"/>
    <w:lsdException w:name="heading 9" w:uiPriority="9" w:semiHidden="1" w:unhideWhenUsed="1" w:qFormat="1"/>
    <w:lsdException w:name="index 5" w:semiHidden="1" w:unhideWhenUsed="1"/>
    <w:lsdException w:name="table of figures" w:semiHidden="1" w:unhideWhenUsed="1"/>
    <w:lsdException w:name="heading 6" w:uiPriority="9" w:semiHidden="1" w:unhideWhenUsed="1" w:qFormat="1"/>
    <w:lsdException w:name="Message Header" w:semiHidden="1" w:unhideWhenUsed="1"/>
    <w:lsdException w:name="envelope return" w:semiHidden="1" w:unhideWhenUsed="1"/>
    <w:lsdException w:name="List Bullet 5" w:semiHidden="1" w:unhideWhenUsed="1"/>
    <w:lsdException w:name="List Number 5" w:semiHidden="1" w:unhideWhenUsed="1"/>
    <w:lsdException w:name="Normal Indent" w:semiHidden="1" w:unhideWhenUsed="1"/>
    <w:lsdException w:name="List Bullet 3" w:semiHidden="1" w:unhideWhenUsed="1"/>
    <w:lsdException w:name="Note Heading" w:semiHidden="1" w:unhideWhenUsed="1"/>
    <w:lsdException w:name="List Continue" w:semiHidden="1" w:unhideWhenUsed="1"/>
    <w:lsdException w:name="heading 2" w:uiPriority="9" w:semiHidden="1" w:unhideWhenUsed="1" w:qFormat="1"/>
    <w:lsdException w:name="List 4" w:semiHidden="1" w:unhideWhenUsed="1"/>
    <w:lsdException w:name="toc 2" w:uiPriority="39" w:semiHidden="1" w:unhideWhenUsed="1"/>
    <w:lsdException w:name="toc 8" w:uiPriority="39" w:semiHidden="1" w:unhideWhenUsed="1"/>
    <w:lsdException w:name="toc 5" w:uiPriority="39" w:semiHidden="1" w:unhideWhenUsed="1"/>
    <w:lsdException w:name="Date" w:semiHidden="1" w:unhideWhenUsed="1"/>
    <w:lsdException w:name="toa heading" w:semiHidden="1" w:unhideWhenUsed="1"/>
    <w:lsdException w:name="heading 3" w:uiPriority="9" w:semiHidden="1" w:unhideWhenUsed="1" w:qFormat="1"/>
    <w:lsdException w:name="index heading" w:semiHidden="1" w:unhideWhenUsed="1"/>
    <w:lsdException w:name="toc 3" w:uiPriority="39" w:semiHidden="1" w:unhideWhenUsed="1"/>
    <w:lsdException w:name="List Continue 3" w:semiHidden="1" w:unhideWhenUsed="1"/>
    <w:lsdException w:name="List Bullet" w:semiHidden="1" w:unhideWhenUsed="1"/>
    <w:lsdException w:name="envelope address" w:semiHidden="1" w:unhideWhenUsed="1"/>
    <w:lsdException w:name="Signature" w:semiHidden="1" w:unhideWhenUsed="1"/>
    <w:lsdException w:name="heading 8" w:uiPriority="9" w:semiHidden="1" w:unhideWhenUsed="1" w:qFormat="1"/>
    <w:lsdException w:name="FollowedHyperlink" w:semiHidden="1" w:unhideWhenUsed="1"/>
    <w:lsdException w:name="endnote reference" w:semiHidden="1" w:unhideWhenUsed="1"/>
    <w:lsdException w:name="heading 5" w:uiPriority="9" w:semiHidden="1" w:unhideWhenUsed="1" w:qFormat="1"/>
    <w:lsdException w:name="Subtitle" w:uiPriority="11" w:qFormat="1"/>
    <w:lsdException w:name="List Number 2" w:semiHidden="1" w:unhideWhenUsed="1"/>
    <w:lsdException w:name="toc 6" w:uiPriority="39" w:semiHidden="1" w:unhideWhenUsed="1"/>
    <w:lsdException w:name="List" w:semiHidden="1" w:unhideWhenUsed="1"/>
    <w:lsdException w:name="Normal" w:uiPriority="0" w:qFormat="1"/>
    <w:lsdException w:name="List Number" w:semiHidden="1" w:unhideWhenUsed="1"/>
    <w:lsdException w:name="List 3" w:semiHidden="1" w:unhideWhenUsed="1"/>
    <w:lsdException w:name="footnote text" w:semiHidden="1" w:unhideWhenUsed="1"/>
    <w:lsdException w:name="toc 1" w:uiPriority="39" w:semiHidden="1" w:unhideWhenUsed="1"/>
    <w:lsdException w:name="List Continue 5" w:semiHidden="1" w:unhideWhenUsed="1"/>
    <w:lsdException w:name="toc 7" w:uiPriority="39" w:semiHidden="1" w:unhideWhenUsed="1"/>
    <w:lsdException w:name="annotation reference" w:semiHidden="1" w:unhideWhenUsed="1"/>
  </w:latentStyles>
  <w:style w:type="paragraph" w:styleId="g5hcht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4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5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1">
    <w:name w:val="toc 2"/>
    <w:basedOn w:val="000002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2026-10-31T17:41:20Z</dcterms:created>
  <dcterms:modified xsi:type="dcterms:W3CDTF">2026-10-31T17:41:20Z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"01a1914d17b37003aa0d59df7bc12288", "ReservedCode1": "", "ContentPropagator": "00119111010856365494821B355", "PropagateID": "01a1914d17b37003aa0d59df7bc12288", "ReservedCode2": ""}}</vt:lpwstr>
  </property>
</Properties>
</file>