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0B1426"/>
          <w:sz w:val="72"/>
          <w:szCs w:val="72"/>
        </w:rPr>
        <w:t xml:space="preserve">NUM</w:t>
      </w:r>
    </w:p>
    <w:p>
      <w:pPr>
        <w:spacing w:after="80"/>
      </w:pPr>
      <w:r>
        <w:rPr>
          <w:color w:val="1B3A57"/>
          <w:sz w:val="36"/>
          <w:szCs w:val="36"/>
        </w:rPr>
        <w:t xml:space="preserve">Business Plan</w:t>
      </w:r>
    </w:p>
    <w:p>
      <w:pPr>
        <w:spacing w:after="1800"/>
      </w:pPr>
      <w:r>
        <w:rPr>
          <w:i/>
          <w:iCs/>
          <w:color w:val="595959"/>
          <w:sz w:val="24"/>
          <w:szCs w:val="24"/>
        </w:rPr>
        <w:t xml:space="preserve">AI Personal Concierge — Phuket pilot to multi-tenant scale</w:t>
      </w:r>
    </w:p>
    <w:p>
      <w:pPr>
        <w:spacing w:after="240"/>
      </w:pPr>
      <w:r>
        <w:rPr>
          <w:color w:val="595959"/>
          <w:sz w:val="20"/>
          <w:szCs w:val="20"/>
        </w:rPr>
        <w:t xml:space="preserve">Prepared by Lumi · Dre · 2026-05-26 · v1.0</w:t>
      </w:r>
    </w:p>
    <w:p>
      <w:r>
        <w:br w:type="page"/>
      </w:r>
    </w:p>
    <w:p>
      <w:pPr>
        <w:pStyle w:val="Heading1"/>
        <w:spacing w:after="180" w:before="360"/>
      </w:pPr>
      <w:r>
        <w:rPr>
          <w:b/>
          <w:bCs/>
        </w:rPr>
        <w:t xml:space="preserve">1. Executive Summary</w:t>
      </w:r>
    </w:p>
    <w:p>
      <w:pPr>
        <w:spacing w:after="120"/>
        <w:jc w:val="left"/>
      </w:pPr>
      <w:r>
        <w:t xml:space="preserve">NUM is an AI Personal Concierge: a persistent, multilingual chat assistant that lives in the channels users already use (WhatsApp, LINE, WeChat, SMS) and gives every user a dedicated AI agent — bound to a UUID, backed by an encrypted profile that learns and adapts across days, channels, and trips.</w:t>
      </w:r>
    </w:p>
    <w:p>
      <w:pPr>
        <w:spacing w:after="120"/>
        <w:jc w:val="left"/>
      </w:pPr>
      <w:r>
        <w:t xml:space="preserve">We are not starting from zero. Lumi has already shipped autonomous AI agents in regulated supply chain through AEROZ (aeroz.io/ai-management) — operational today for pharma DSCSA, EU battery, and UAE/GCC supply-chain workflows, with append-only audit logs and human-in-the-loop reviewer queues. NUM applies the same proven agent architecture to consumer concierge — starting in Phuket through a partnership with an established local operator running 100+ in-car advertising screens and a 100+ hotel network.</w:t>
      </w:r>
    </w:p>
    <w:p>
      <w:pPr>
        <w:spacing w:after="120"/>
        <w:jc w:val="left"/>
      </w:pPr>
      <w:r>
        <w:t xml:space="preserve">We monetize on two sides of the same conversation: B2B licensing to regional operators (Pilot / Pro / Enterprise tiers) and transactional revenue from the user journey (booking commissions, high-LTV "whale leads" in real estate / school / relocation, merchant featured-listings, and an optional consumer subscription NUM+).</w:t>
      </w:r>
    </w:p>
    <w:p>
      <w:pPr>
        <w:spacing w:after="120"/>
        <w:jc w:val="left"/>
      </w:pPr>
      <w:r>
        <w:t xml:space="preserve">Three-year projections (driver-based, fully detailed in the accompanying financial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Year 1</w:t>
            </w:r>
          </w:p>
        </w:tc>
        <w:tc>
          <w:tcPr>
            <w:tcW w:type="dxa" w:w="212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Year 2</w:t>
            </w:r>
          </w:p>
        </w:tc>
        <w:tc>
          <w:tcPr>
            <w:tcW w:type="dxa" w:w="212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Year 3</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Tenants (end of period)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11</w:t>
            </w:r>
          </w:p>
        </w:tc>
      </w:tr>
      <w:tr>
        <w:trPr>
          <w:tblHeader w:val="false"/>
        </w:trP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Avg MAU</w:t>
            </w:r>
          </w:p>
        </w:tc>
        <w:tc>
          <w:tcPr>
            <w:tcW w:type="dxa" w:w="2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~6k</w:t>
            </w:r>
          </w:p>
        </w:tc>
        <w:tc>
          <w:tcPr>
            <w:tcW w:type="dxa" w:w="2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~43k</w:t>
            </w:r>
          </w:p>
        </w:tc>
        <w:tc>
          <w:tcPr>
            <w:tcW w:type="dxa" w:w="2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~178k</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Revenue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$259K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$1.63M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$6.46M</w:t>
            </w:r>
          </w:p>
        </w:tc>
      </w:tr>
      <w:tr>
        <w:trPr>
          <w:tblHeader w:val="false"/>
        </w:trP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Gross margin %</w:t>
            </w:r>
          </w:p>
        </w:tc>
        <w:tc>
          <w:tcPr>
            <w:tcW w:type="dxa" w:w="2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79%</w:t>
            </w:r>
          </w:p>
        </w:tc>
        <w:tc>
          <w:tcPr>
            <w:tcW w:type="dxa" w:w="2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78%</w:t>
            </w:r>
          </w:p>
        </w:tc>
        <w:tc>
          <w:tcPr>
            <w:tcW w:type="dxa" w:w="2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78%</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EBITDA ($)</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$36K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$802K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$4.07M</w:t>
            </w:r>
          </w:p>
        </w:tc>
      </w:tr>
      <w:tr>
        <w:trPr>
          <w:tblHeader w:val="false"/>
        </w:trPr>
        <w:tc>
          <w:tcPr>
            <w:tcW w:type="dxa" w:w="3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EBITDA margin %</w:t>
            </w:r>
          </w:p>
        </w:tc>
        <w:tc>
          <w:tcPr>
            <w:tcW w:type="dxa" w:w="2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14%</w:t>
            </w:r>
          </w:p>
        </w:tc>
        <w:tc>
          <w:tcPr>
            <w:tcW w:type="dxa" w:w="2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49%</w:t>
            </w:r>
          </w:p>
        </w:tc>
        <w:tc>
          <w:tcPr>
            <w:tcW w:type="dxa" w:w="2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63%</w:t>
            </w:r>
          </w:p>
        </w:tc>
      </w:tr>
    </w:tbl>
    <w:p>
      <w:pPr>
        <w:spacing w:after="120"/>
        <w:jc w:val="left"/>
      </w:pPr>
      <w:r>
        <w:t xml:space="preserve"/>
      </w:r>
    </w:p>
    <w:p>
      <w:pPr>
        <w:spacing w:after="120"/>
        <w:jc w:val="left"/>
      </w:pPr>
      <w:r>
        <w:t xml:space="preserve">We are seeking pilot validation now (Phuket InCar Group), with a deliberate bootstrapped path to profitability by Q5–Q6. A seed raise is on the table only if competitive heat in Southeast Asia accelerates the territory race.</w:t>
      </w:r>
    </w:p>
    <w:p>
      <w:r>
        <w:br w:type="page"/>
      </w:r>
    </w:p>
    <w:p>
      <w:pPr>
        <w:pStyle w:val="Heading1"/>
        <w:spacing w:after="180" w:before="360"/>
      </w:pPr>
      <w:r>
        <w:rPr>
          <w:b/>
          <w:bCs/>
        </w:rPr>
        <w:t xml:space="preserve">2. Company &amp; Brand Architecture</w:t>
      </w:r>
    </w:p>
    <w:p>
      <w:pPr>
        <w:spacing w:after="120"/>
        <w:jc w:val="left"/>
      </w:pPr>
      <w:r>
        <w:t xml:space="preserve">Lumi is the parent operating company. It builds autonomous AI agents that "live in the user's pocket" and act on their behalf. Lumi has two sister brands, both running on the same underlying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380"/>
        <w:gridCol w:w="2480"/>
      </w:tblGrid>
      <w:tr>
        <w:trPr>
          <w:tblHeader/>
        </w:trPr>
        <w:tc>
          <w:tcPr>
            <w:tcW w:type="dxa" w:w="150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Brand</w:t>
            </w:r>
          </w:p>
        </w:tc>
        <w:tc>
          <w:tcPr>
            <w:tcW w:type="dxa" w:w="538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Market</w:t>
            </w:r>
          </w:p>
        </w:tc>
        <w:tc>
          <w:tcPr>
            <w:tcW w:type="dxa" w:w="248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Status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20"/>
                <w:szCs w:val="20"/>
              </w:rPr>
              <w:t xml:space="preserve">AEROZ</w:t>
            </w:r>
          </w:p>
        </w:tc>
        <w:tc>
          <w:tcPr>
            <w:tcW w:type="dxa" w:w="5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Enterprise / regulated supply chain (pharma DSCSA, EU battery, UAE/GCC)</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Live · paying customers · in production</w:t>
            </w:r>
          </w:p>
        </w:tc>
      </w:tr>
      <w:tr>
        <w:trPr>
          <w:tblHeader w:val="false"/>
        </w:trPr>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bCs/>
                <w:color w:val="000000"/>
                <w:sz w:val="20"/>
                <w:szCs w:val="20"/>
              </w:rPr>
              <w:t xml:space="preserve">NUM</w:t>
            </w:r>
          </w:p>
        </w:tc>
        <w:tc>
          <w:tcPr>
            <w:tcW w:type="dxa" w:w="53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Consumer / hospitality concierge (Phuket pilot launching)</w:t>
            </w:r>
          </w:p>
        </w:tc>
        <w:tc>
          <w:tcPr>
            <w:tcW w:type="dxa" w:w="24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Pre-pilot · MVP architecture locked · partner secured</w:t>
            </w:r>
          </w:p>
        </w:tc>
      </w:tr>
    </w:tbl>
    <w:p>
      <w:pPr>
        <w:spacing w:after="120"/>
        <w:jc w:val="left"/>
      </w:pPr>
      <w:r>
        <w:t xml:space="preserve"/>
      </w:r>
    </w:p>
    <w:p>
      <w:pPr>
        <w:spacing w:after="120"/>
        <w:jc w:val="left"/>
      </w:pPr>
      <w:r>
        <w:t xml:space="preserve">The cross-product credibility matters: NUM is not a vaporware bet. The agent loop (research → draft → QA → reviewer queue → append-only audit log) is the same architecture AEROZ already runs in regulated environments where errors cost real money. We are applying a proven system to a new market, with an existing partner who controls the distribution we need.</w:t>
      </w:r>
    </w:p>
    <w:p>
      <w:pPr>
        <w:pStyle w:val="Heading1"/>
        <w:spacing w:after="180" w:before="360"/>
      </w:pPr>
      <w:r>
        <w:rPr>
          <w:b/>
          <w:bCs/>
        </w:rPr>
        <w:t xml:space="preserve">3. The Problem</w:t>
      </w:r>
    </w:p>
    <w:p>
      <w:pPr>
        <w:spacing w:after="120"/>
        <w:jc w:val="left"/>
      </w:pPr>
      <w:r>
        <w:t xml:space="preserve">Tourism is full of bad chat experiences. Generic chatbots, brittle vendor lookups, hotel concierges that close at 9pm, language barriers, and the same questions answered the same way for every traveler. For long-stay travelers, relocating families, and the rapidly growing digital-nomad population, this is even worse — they have higher-order needs (international schools, property, visas, healthcare) that no existing tourism tool addresses.</w:t>
      </w:r>
    </w:p>
    <w:p>
      <w:pPr>
        <w:spacing w:after="120"/>
        <w:jc w:val="left"/>
      </w:pPr>
      <w:r>
        <w:t xml:space="preserve">Operators of tourism infrastructure (transfer fleets, hotel groups, lifestyle networks) have captive audiences but no software layer to convert that attention into recurring digital engagement. They can show ads. They cannot have conversations.</w:t>
      </w:r>
    </w:p>
    <w:p>
      <w:pPr>
        <w:pStyle w:val="Heading1"/>
        <w:spacing w:after="180" w:before="360"/>
      </w:pPr>
      <w:r>
        <w:rPr>
          <w:b/>
          <w:bCs/>
        </w:rPr>
        <w:t xml:space="preserve">4. The Product</w:t>
      </w:r>
    </w:p>
    <w:p>
      <w:pPr>
        <w:spacing w:after="120"/>
        <w:jc w:val="left"/>
      </w:pPr>
      <w:r>
        <w:t xml:space="preserve">NUM gives every user a dedicated AI agent, bound to a UUID, backed by an encrypted profile that learns and adapts. Four properties make it distinct:</w:t>
      </w:r>
    </w:p>
    <w:p>
      <w:pPr>
        <w:pStyle w:val="ListParagraph"/>
        <w:numPr>
          <w:ilvl w:val="0"/>
          <w:numId w:val="2"/>
        </w:numPr>
        <w:spacing w:after="60"/>
      </w:pPr>
      <w:r>
        <w:t xml:space="preserve">Persistent memory — the same NUM remembers a user across days, trips, channels. "My kid is 7 and vegetarian" is said once, then never asked again.</w:t>
      </w:r>
    </w:p>
    <w:p>
      <w:pPr>
        <w:pStyle w:val="ListParagraph"/>
        <w:numPr>
          <w:ilvl w:val="0"/>
          <w:numId w:val="2"/>
        </w:numPr>
        <w:spacing w:after="60"/>
      </w:pPr>
      <w:r>
        <w:t xml:space="preserve">Channel-agnostic — WhatsApp, LINE, WeChat, SMS, in-car QR, and web all hit the same brain. Critical for Asia, where WeChat (Chinese tourists) and LINE (Thai/JP/KR) sit alongside WhatsApp.</w:t>
      </w:r>
    </w:p>
    <w:p>
      <w:pPr>
        <w:pStyle w:val="ListParagraph"/>
        <w:numPr>
          <w:ilvl w:val="0"/>
          <w:numId w:val="2"/>
        </w:numPr>
        <w:spacing w:after="60"/>
      </w:pPr>
      <w:r>
        <w:t xml:space="preserve">Whale-lead aware — the agent recognizes high-LTV intent (real estate, school enrollment, relocation, visa) and routes to specialist humans, not just affiliate links.</w:t>
      </w:r>
    </w:p>
    <w:p>
      <w:pPr>
        <w:pStyle w:val="ListParagraph"/>
        <w:numPr>
          <w:ilvl w:val="0"/>
          <w:numId w:val="2"/>
        </w:numPr>
        <w:spacing w:after="60"/>
      </w:pPr>
      <w:r>
        <w:t xml:space="preserve">Multi-tenant by design — every user, vendor, and conversation is scoped to a partner_tenant_id. We license territories to operators without commingling their data.</w:t>
      </w:r>
    </w:p>
    <w:p>
      <w:pPr>
        <w:pStyle w:val="Heading2"/>
        <w:spacing w:after="120" w:before="240"/>
      </w:pPr>
      <w:r>
        <w:rPr>
          <w:b/>
          <w:bCs/>
        </w:rPr>
        <w:t xml:space="preserve">Tech stack</w:t>
      </w:r>
    </w:p>
    <w:p>
      <w:pPr>
        <w:spacing w:after="120"/>
        <w:jc w:val="left"/>
      </w:pPr>
      <w:r>
        <w:t xml:space="preserve">Python + FastAPI backend on Railway, Supabase (Postgres + pgvector) for relational + vector data, Claude (Sonnet for chat, Haiku for cheap intent routing), envelope-encryption (KMS) for PII, Twilio + LINE + WeChat Service Account for channel adapters. The detailed architecture document and a deployable build package are part of this plan's deliverable set.</w:t>
      </w:r>
    </w:p>
    <w:p>
      <w:pPr>
        <w:pStyle w:val="Heading1"/>
        <w:spacing w:after="180" w:before="360"/>
      </w:pPr>
      <w:r>
        <w:rPr>
          <w:b/>
          <w:bCs/>
        </w:rPr>
        <w:t xml:space="preserve">5. Market Opportunity</w:t>
      </w:r>
    </w:p>
    <w:p>
      <w:pPr>
        <w:pStyle w:val="Heading2"/>
        <w:spacing w:after="120" w:before="240"/>
      </w:pPr>
      <w:r>
        <w:rPr>
          <w:b/>
          <w:bCs/>
        </w:rPr>
        <w:t xml:space="preserve">Phuket beachhead</w:t>
      </w:r>
    </w:p>
    <w:p>
      <w:pPr>
        <w:pStyle w:val="ListParagraph"/>
        <w:numPr>
          <w:ilvl w:val="0"/>
          <w:numId w:val="2"/>
        </w:numPr>
        <w:spacing w:after="60"/>
      </w:pPr>
      <w:r>
        <w:t xml:space="preserve">Phuket draws ~20M visitors per year (pre-COVID baseline, recovering through 2025).</w:t>
      </w:r>
    </w:p>
    <w:p>
      <w:pPr>
        <w:pStyle w:val="ListParagraph"/>
        <w:numPr>
          <w:ilvl w:val="0"/>
          <w:numId w:val="2"/>
        </w:numPr>
        <w:spacing w:after="60"/>
      </w:pPr>
      <w:r>
        <w:t xml:space="preserve">Tourist mix: short-term, luxury, long-stay, digital nomads, and a fast-growing relocating-families segment.</w:t>
      </w:r>
    </w:p>
    <w:p>
      <w:pPr>
        <w:pStyle w:val="ListParagraph"/>
        <w:numPr>
          <w:ilvl w:val="0"/>
          <w:numId w:val="2"/>
        </w:numPr>
        <w:spacing w:after="60"/>
      </w:pPr>
      <w:r>
        <w:t xml:space="preserve">Chinese visitors remain the single largest international segment — and the most underserved by Western-language tooling. WeChat is the only viable channel for them.</w:t>
      </w:r>
    </w:p>
    <w:p>
      <w:pPr>
        <w:pStyle w:val="ListParagraph"/>
        <w:numPr>
          <w:ilvl w:val="0"/>
          <w:numId w:val="2"/>
        </w:numPr>
        <w:spacing w:after="60"/>
      </w:pPr>
      <w:r>
        <w:t xml:space="preserve">Our partner already operates ~100 in-car ad screens in private transfers and taxis, with relationships across 100+ hotels. That is a captive funnel we don't have to acquire.</w:t>
      </w:r>
    </w:p>
    <w:p>
      <w:pPr>
        <w:pStyle w:val="Heading2"/>
        <w:spacing w:after="120" w:before="240"/>
      </w:pPr>
      <w:r>
        <w:rPr>
          <w:b/>
          <w:bCs/>
        </w:rPr>
        <w:t xml:space="preserve">Why this is bigger than restaurant commissions</w:t>
      </w:r>
    </w:p>
    <w:p>
      <w:pPr>
        <w:spacing w:after="120"/>
        <w:jc w:val="left"/>
      </w:pPr>
      <w:r>
        <w:t xml:space="preserve">A user who lands as a tourist and converts to a long-stay or relocating prospect has dramatically higher LTV. A single international-school enrollment is $1,500–$5,000 in placement fees. A long-term rental referral is 25–50% of one month's rent. A property purchase sub-broker fee runs $1,500–$3,750+ on a $500k villa. The math changes from "affiliate clicks" to "qualified introductions in regulated verticals."</w:t>
      </w:r>
    </w:p>
    <w:p>
      <w:pPr>
        <w:pStyle w:val="Heading2"/>
        <w:spacing w:after="120" w:before="240"/>
      </w:pPr>
      <w:r>
        <w:rPr>
          <w:b/>
          <w:bCs/>
        </w:rPr>
        <w:t xml:space="preserve">Expansion roadmap</w:t>
      </w:r>
    </w:p>
    <w:p>
      <w:pPr>
        <w:spacing w:after="120"/>
        <w:jc w:val="left"/>
      </w:pPr>
      <w:r>
        <w:t xml:space="preserve">After Phuket: Bali, Bangkok, Kuala Lumpur, Ho Chi Minh, Da Nang. Each is a defined territory unit. Five productive tenants is a multi-hundred-thousand-USD net contribution business at ~70% gross margin.</w:t>
      </w:r>
    </w:p>
    <w:p>
      <w:pPr>
        <w:pStyle w:val="Heading1"/>
        <w:spacing w:after="180" w:before="360"/>
      </w:pPr>
      <w:r>
        <w:rPr>
          <w:b/>
          <w:bCs/>
        </w:rPr>
        <w:t xml:space="preserve">6. Business Model</w:t>
      </w:r>
    </w:p>
    <w:p>
      <w:pPr>
        <w:spacing w:after="120"/>
        <w:jc w:val="left"/>
      </w:pPr>
      <w:r>
        <w:t xml:space="preserve">Dual monetization. Both sides reinforce each other: more partners → more distribution → more users → more transactional revenue → better AI → more partners want in.</w:t>
      </w:r>
    </w:p>
    <w:p>
      <w:pPr>
        <w:pStyle w:val="Heading2"/>
        <w:spacing w:after="120" w:before="240"/>
      </w:pPr>
      <w:r>
        <w:rPr>
          <w:b/>
          <w:bCs/>
        </w:rPr>
        <w:t xml:space="preserve">B2B — Tenant licensing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2080"/>
        <w:gridCol w:w="2080"/>
      </w:tblGrid>
      <w:tr>
        <w:trPr>
          <w:tblHeader/>
        </w:trPr>
        <w:tc>
          <w:tcPr>
            <w:tcW w:type="dxa" w:w="150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Setup</w:t>
            </w:r>
          </w:p>
        </w:tc>
        <w:tc>
          <w:tcPr>
            <w:tcW w:type="dxa" w:w="220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Monthly</w:t>
            </w:r>
          </w:p>
        </w:tc>
        <w:tc>
          <w:tcPr>
            <w:tcW w:type="dxa" w:w="208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Lumi share — bookings</w:t>
            </w:r>
          </w:p>
        </w:tc>
        <w:tc>
          <w:tcPr>
            <w:tcW w:type="dxa" w:w="208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Lumi share — whale leads</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20"/>
                <w:szCs w:val="20"/>
              </w:rPr>
              <w:t xml:space="preserve">Pilot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Waived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30%</w:t>
            </w:r>
          </w:p>
        </w:tc>
      </w:tr>
      <w:tr>
        <w:trPr>
          <w:tblHeader w:val="false"/>
        </w:trPr>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bCs/>
                <w:color w:val="000000"/>
                <w:sz w:val="20"/>
                <w:szCs w:val="20"/>
              </w:rPr>
              <w:t xml:space="preserve">Pro</w:t>
            </w:r>
          </w:p>
        </w:tc>
        <w:tc>
          <w:tcPr>
            <w:tcW w:type="dxa" w:w="1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$5,000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$2,500 + usage</w:t>
            </w:r>
          </w:p>
        </w:tc>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35%</w:t>
            </w:r>
          </w:p>
        </w:tc>
        <w:tc>
          <w:tcPr>
            <w:tcW w:type="dxa" w:w="20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25%</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20"/>
                <w:szCs w:val="20"/>
              </w:rPr>
              <w:t xml:space="preserve">Enterprise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$8K–$15K</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w:t>
            </w:r>
          </w:p>
        </w:tc>
      </w:tr>
    </w:tbl>
    <w:p>
      <w:pPr>
        <w:spacing w:after="120"/>
        <w:jc w:val="left"/>
      </w:pPr>
      <w:r>
        <w:t xml:space="preserve"/>
      </w:r>
    </w:p>
    <w:p>
      <w:pPr>
        <w:pStyle w:val="Heading2"/>
        <w:spacing w:after="120" w:before="240"/>
      </w:pPr>
      <w:r>
        <w:rPr>
          <w:b/>
          <w:bCs/>
        </w:rPr>
        <w:t xml:space="preserve">Consumer / transactional</w:t>
      </w:r>
    </w:p>
    <w:p>
      <w:pPr>
        <w:pStyle w:val="ListParagraph"/>
        <w:numPr>
          <w:ilvl w:val="0"/>
          <w:numId w:val="2"/>
        </w:numPr>
        <w:spacing w:after="60"/>
      </w:pPr>
      <w:r>
        <w:t xml:space="preserve">Booking commissions: 10–20% on direct vendor deals; 4–10% via OTAs (Agoda, Klook, Booking, Viator). Lumi share split per tier above.</w:t>
      </w:r>
    </w:p>
    <w:p>
      <w:pPr>
        <w:pStyle w:val="ListParagraph"/>
        <w:numPr>
          <w:ilvl w:val="0"/>
          <w:numId w:val="2"/>
        </w:numPr>
        <w:spacing w:after="60"/>
      </w:pPr>
      <w:r>
        <w:t xml:space="preserve">Whale leads: per-qualified-lead + placement bonus. Examples: $50–$200 per school inquiry + $1.5–5k per enrollment; 25–50% of one month's rent for long-term rentals; 10–25% sub-broker fee on property purchases.</w:t>
      </w:r>
    </w:p>
    <w:p>
      <w:pPr>
        <w:pStyle w:val="ListParagraph"/>
        <w:numPr>
          <w:ilvl w:val="0"/>
          <w:numId w:val="2"/>
        </w:numPr>
        <w:spacing w:after="60"/>
      </w:pPr>
      <w:r>
        <w:t xml:space="preserve">Merchant featured-listing subscriptions: $49 / $149 / $399 monthly tiers.</w:t>
      </w:r>
    </w:p>
    <w:p>
      <w:pPr>
        <w:pStyle w:val="ListParagraph"/>
        <w:numPr>
          <w:ilvl w:val="0"/>
          <w:numId w:val="2"/>
        </w:numPr>
        <w:spacing w:after="60"/>
      </w:pPr>
      <w:r>
        <w:t xml:space="preserve">NUM+ consumer subscription: $9.99/mo (priority queue, no featured-listing bias, proactive trip planning, family-share). NUM Concierge: $199/mo (human escalation in &lt;1h).</w:t>
      </w:r>
    </w:p>
    <w:p>
      <w:pPr>
        <w:pStyle w:val="ListParagraph"/>
        <w:numPr>
          <w:ilvl w:val="0"/>
          <w:numId w:val="2"/>
        </w:numPr>
        <w:spacing w:after="60"/>
      </w:pPr>
      <w:r>
        <w:t xml:space="preserve">Data products (opt-in only, aggregated): quarterly intelligence reports to tourism boards, $2.5k–$10k per report. Strict rule — we never sell raw user data.</w:t>
      </w:r>
    </w:p>
    <w:p>
      <w:pPr>
        <w:pStyle w:val="Heading2"/>
        <w:spacing w:after="120" w:before="240"/>
      </w:pPr>
      <w:r>
        <w:rPr>
          <w:b/>
          <w:bCs/>
        </w:rPr>
        <w:t xml:space="preserve">Unit economics</w:t>
      </w:r>
    </w:p>
    <w:p>
      <w:pPr>
        <w:spacing w:after="120"/>
        <w:jc w:val="left"/>
      </w:pPr>
      <w:r>
        <w:t xml:space="preserve">Variable COGS per active user per month: ~$0.64 (LLM tokens, embeddings, messaging fees, infra share). Blended ARPU target by Month 6: ~$8.50/mo. That is a ~13× revenue-to-COGS ratio before tenant rev-share.</w:t>
      </w:r>
    </w:p>
    <w:p>
      <w:pPr>
        <w:spacing w:after="120"/>
        <w:jc w:val="left"/>
      </w:pPr>
      <w:r>
        <w:t xml:space="preserve">CAC in the partnered model is effectively zero — the partner brings the funnel. LTV depends on segment: ~2.5 months for short-stay tourists, 14+ months for relocating families. Blended LTV ~$45 per user.</w:t>
      </w:r>
    </w:p>
    <w:p>
      <w:pPr>
        <w:pStyle w:val="Heading1"/>
        <w:spacing w:after="180" w:before="360"/>
      </w:pPr>
      <w:r>
        <w:rPr>
          <w:b/>
          <w:bCs/>
        </w:rPr>
        <w:t xml:space="preserve">7. Go-to-Market</w:t>
      </w:r>
    </w:p>
    <w:p>
      <w:pPr>
        <w:pStyle w:val="Heading2"/>
        <w:spacing w:after="120" w:before="240"/>
      </w:pPr>
      <w:r>
        <w:rPr>
          <w:b/>
          <w:bCs/>
        </w:rPr>
        <w:t xml:space="preserve">Phase 1 — Phuket pilot (Month 1)</w:t>
      </w:r>
    </w:p>
    <w:p>
      <w:pPr>
        <w:spacing w:after="120"/>
        <w:jc w:val="left"/>
      </w:pPr>
      <w:r>
        <w:t xml:space="preserve">30–40 vehicles equipped with NUM QR. Three channels live (WhatsApp + LINE + WeChat). 5 verticals seeded: dining, transfers, tours, hotel add-ons, introductory whale leads. 40–60 vendors onboarded from the partner's existing network. Weekly KPI reviews. Decision gate at Week 7 to convert to Pro tier.</w:t>
      </w:r>
    </w:p>
    <w:p>
      <w:pPr>
        <w:pStyle w:val="Heading2"/>
        <w:spacing w:after="120" w:before="240"/>
      </w:pPr>
      <w:r>
        <w:rPr>
          <w:b/>
          <w:bCs/>
        </w:rPr>
        <w:t xml:space="preserve">Phase 2 — Pro contract (Months 2–7)</w:t>
      </w:r>
    </w:p>
    <w:p>
      <w:pPr>
        <w:spacing w:after="120"/>
        <w:jc w:val="left"/>
      </w:pPr>
      <w:r>
        <w:t xml:space="preserve">Single tenant, full Pro tier economics ($2.5k/mo + 35/65 rev share on bookings, 25/75 on whale leads). Continuous AI tuning from real conversation data. Build partner dashboard + vendor self-service portal. Begin Bali partner outreach.</w:t>
      </w:r>
    </w:p>
    <w:p>
      <w:pPr>
        <w:pStyle w:val="Heading2"/>
        <w:spacing w:after="120" w:before="240"/>
      </w:pPr>
      <w:r>
        <w:rPr>
          <w:b/>
          <w:bCs/>
        </w:rPr>
        <w:t xml:space="preserve">Phase 3 — Multi-tenant scale (Months 7–24)</w:t>
      </w:r>
    </w:p>
    <w:p>
      <w:pPr>
        <w:spacing w:after="120"/>
        <w:jc w:val="left"/>
      </w:pPr>
      <w:r>
        <w:t xml:space="preserve">Sign 3 additional Pro tenants in Y2 (Bali, Bangkok, KL targets). Begin Enterprise conversion with the strongest performer for exclusive territory at $8k+/mo. Stand up tenant self-onboarding to reduce sales cycle. Launch NUM+ consumer subscription.</w:t>
      </w:r>
    </w:p>
    <w:p>
      <w:pPr>
        <w:pStyle w:val="Heading1"/>
        <w:spacing w:after="180" w:before="360"/>
      </w:pPr>
      <w:r>
        <w:rPr>
          <w:b/>
          <w:bCs/>
        </w:rPr>
        <w:t xml:space="preserve">8. Competitive Landscape</w:t>
      </w:r>
    </w:p>
    <w:p>
      <w:pPr>
        <w:spacing w:after="120"/>
        <w:jc w:val="left"/>
      </w:pPr>
      <w:r>
        <w:t xml:space="preserve">Three rough competitive groups:</w:t>
      </w:r>
    </w:p>
    <w:p>
      <w:pPr>
        <w:pStyle w:val="ListParagraph"/>
        <w:numPr>
          <w:ilvl w:val="0"/>
          <w:numId w:val="2"/>
        </w:numPr>
        <w:spacing w:after="60"/>
      </w:pPr>
      <w:r>
        <w:t xml:space="preserve">Generic AI chatbots (e.g., off-the-shelf ChatGPT wrappers, vertical-agnostic concierge apps) — broad but shallow. No memory across visits, no multi-channel, no whale-lead routing, no operator licensing model.</w:t>
      </w:r>
    </w:p>
    <w:p>
      <w:pPr>
        <w:pStyle w:val="ListParagraph"/>
        <w:numPr>
          <w:ilvl w:val="0"/>
          <w:numId w:val="2"/>
        </w:numPr>
        <w:spacing w:after="60"/>
      </w:pPr>
      <w:r>
        <w:t xml:space="preserve">Tourism OTAs (Booking, Agoda, Klook, GetYourGuide) — strong booking flows but no conversational depth and no long-term lifecycle play. They are partners as much as competitors; we resell through their inventory.</w:t>
      </w:r>
    </w:p>
    <w:p>
      <w:pPr>
        <w:pStyle w:val="ListParagraph"/>
        <w:numPr>
          <w:ilvl w:val="0"/>
          <w:numId w:val="2"/>
        </w:numPr>
        <w:spacing w:after="60"/>
      </w:pPr>
      <w:r>
        <w:t xml:space="preserve">Hotel-specific concierge tools (e.g., Whistle, Volara) — strong inside a property but locked to that property's guest list and don't follow the user across the trip or beyond.</w:t>
      </w:r>
    </w:p>
    <w:p>
      <w:pPr>
        <w:spacing w:after="120"/>
        <w:jc w:val="left"/>
      </w:pPr>
      <w:r>
        <w:t xml:space="preserve">NUM's defensible position: persistent per-user memory + multi-channel + multi-tenant licensing + whale-lead routing. None of the above three groups does all four. The AEROZ track record means we can credibly tell partners we've built and operated regulated AI agent systems before.</w:t>
      </w:r>
    </w:p>
    <w:p>
      <w:pPr>
        <w:pStyle w:val="Heading1"/>
        <w:spacing w:after="180" w:before="360"/>
      </w:pPr>
      <w:r>
        <w:rPr>
          <w:b/>
          <w:bCs/>
        </w:rPr>
        <w:t xml:space="preserve">9. Team</w:t>
      </w:r>
    </w:p>
    <w:p>
      <w:pPr>
        <w:spacing w:after="120"/>
        <w:jc w:val="left"/>
      </w:pPr>
      <w:r>
        <w:t xml:space="preserve">Lumi is led by Dre (andre@thatislumi.com) — operator and architect across both AEROZ and NUM. AEROZ is currently in production for regulated supply-chain clients across pharma, EU battery, and UAE/GCC. The same operating discipline (human-in-the-loop, append-only audit logs, defensible-by-design workflows) carries into NUM.</w:t>
      </w:r>
    </w:p>
    <w:p>
      <w:pPr>
        <w:spacing w:after="120"/>
        <w:jc w:val="left"/>
      </w:pPr>
      <w:r>
        <w:t xml:space="preserve">Year-1 build will be Dre + one contracted engineer + part-time local operations support in Phuket (via partner). Year-2 plan adds 3 FTE (engineer, partner success, content/vendor ops). Year-3 plan adds another 3 FTE (engineering depth, sales, customer success).</w:t>
      </w:r>
    </w:p>
    <w:p>
      <w:pPr>
        <w:pStyle w:val="Heading1"/>
        <w:spacing w:after="180" w:before="360"/>
      </w:pPr>
      <w:r>
        <w:rPr>
          <w:b/>
          <w:bCs/>
        </w:rPr>
        <w:t xml:space="preserve">10. Financial Projections</w:t>
      </w:r>
    </w:p>
    <w:p>
      <w:pPr>
        <w:spacing w:after="120"/>
        <w:jc w:val="left"/>
      </w:pPr>
      <w:r>
        <w:t xml:space="preserve">Detailed driver-based model is delivered separately as 05_FINANCIAL_MODEL.xlsx. Headline three-year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Line ($USD)</w:t>
            </w:r>
          </w:p>
        </w:tc>
        <w:tc>
          <w:tcPr>
            <w:tcW w:type="dxa" w:w="220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Year 1</w:t>
            </w:r>
          </w:p>
        </w:tc>
        <w:tc>
          <w:tcPr>
            <w:tcW w:type="dxa" w:w="220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Year 2</w:t>
            </w:r>
          </w:p>
        </w:tc>
        <w:tc>
          <w:tcPr>
            <w:tcW w:type="dxa" w:w="236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Year 3</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Platform fees + setup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$30,000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$170,000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$835,000</w:t>
            </w:r>
          </w:p>
        </w:tc>
      </w:tr>
      <w:tr>
        <w:trPr>
          <w:tblHeader w:val="false"/>
        </w:trP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Booking commissions</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$33,600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$300,000</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$1,150,000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Whale-lead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$25,000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$235,000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$1,000,000</w:t>
            </w:r>
          </w:p>
        </w:tc>
      </w:tr>
      <w:tr>
        <w:trPr>
          <w:tblHeader w:val="false"/>
        </w:trP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Merchant featured-listing</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$155,000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$745,000</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val="false"/>
                <w:bCs w:val="false"/>
                <w:color w:val="000000"/>
                <w:sz w:val="20"/>
                <w:szCs w:val="20"/>
              </w:rPr>
              <w:t xml:space="preserve">$3,180,000</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NUM+ subscriptions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$15,500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$180,000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val="false"/>
                <w:bCs w:val="false"/>
                <w:color w:val="000000"/>
                <w:sz w:val="20"/>
                <w:szCs w:val="20"/>
              </w:rPr>
              <w:t xml:space="preserve">$300,000</w:t>
            </w:r>
          </w:p>
        </w:tc>
      </w:tr>
      <w:tr>
        <w:trPr>
          <w:tblHeader w:val="false"/>
        </w:trP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bCs/>
                <w:color w:val="000000"/>
                <w:sz w:val="20"/>
                <w:szCs w:val="20"/>
              </w:rPr>
              <w:t xml:space="preserve">Total revenue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bCs/>
                <w:color w:val="000000"/>
                <w:sz w:val="20"/>
                <w:szCs w:val="20"/>
              </w:rPr>
              <w:t xml:space="preserve">$259K</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bCs/>
                <w:color w:val="000000"/>
                <w:sz w:val="20"/>
                <w:szCs w:val="20"/>
              </w:rPr>
              <w:t xml:space="preserve">$1.63M</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bCs/>
                <w:color w:val="000000"/>
                <w:sz w:val="20"/>
                <w:szCs w:val="20"/>
              </w:rPr>
              <w:t xml:space="preserve">$6.46M</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20"/>
                <w:szCs w:val="20"/>
              </w:rPr>
              <w:t xml:space="preserve">Gross profit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bCs/>
                <w:color w:val="000000"/>
                <w:sz w:val="20"/>
                <w:szCs w:val="20"/>
              </w:rPr>
              <w:t xml:space="preserve">$204K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bCs/>
                <w:color w:val="000000"/>
                <w:sz w:val="20"/>
                <w:szCs w:val="20"/>
              </w:rPr>
              <w:t xml:space="preserve">$1.28M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right"/>
            </w:pPr>
            <w:r>
              <w:rPr>
                <w:b/>
                <w:bCs/>
                <w:color w:val="000000"/>
                <w:sz w:val="20"/>
                <w:szCs w:val="20"/>
              </w:rPr>
              <w:t xml:space="preserve">$5.05M</w:t>
            </w:r>
          </w:p>
        </w:tc>
      </w:tr>
      <w:tr>
        <w:trPr>
          <w:tblHeader w:val="false"/>
        </w:trPr>
        <w:tc>
          <w:tcPr>
            <w:tcW w:type="dxa" w:w="2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bCs/>
                <w:color w:val="000000"/>
                <w:sz w:val="20"/>
                <w:szCs w:val="20"/>
              </w:rPr>
              <w:t xml:space="preserve">EBITDA</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bCs/>
                <w:color w:val="000000"/>
                <w:sz w:val="20"/>
                <w:szCs w:val="20"/>
              </w:rPr>
              <w:t xml:space="preserve">$36K</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bCs/>
                <w:color w:val="000000"/>
                <w:sz w:val="20"/>
                <w:szCs w:val="20"/>
              </w:rPr>
              <w:t xml:space="preserve">$802K</w:t>
            </w:r>
          </w:p>
        </w:tc>
        <w:tc>
          <w:tcPr>
            <w:tcW w:type="dxa" w:w="2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right"/>
            </w:pPr>
            <w:r>
              <w:rPr>
                <w:b/>
                <w:bCs/>
                <w:color w:val="000000"/>
                <w:sz w:val="20"/>
                <w:szCs w:val="20"/>
              </w:rPr>
              <w:t xml:space="preserve">$4.07M</w:t>
            </w:r>
          </w:p>
        </w:tc>
      </w:tr>
    </w:tbl>
    <w:p>
      <w:pPr>
        <w:spacing w:after="120"/>
        <w:jc w:val="left"/>
      </w:pPr>
      <w:r>
        <w:t xml:space="preserve"/>
      </w:r>
    </w:p>
    <w:p>
      <w:pPr>
        <w:spacing w:after="120"/>
        <w:jc w:val="left"/>
      </w:pPr>
      <w:r>
        <w:t xml:space="preserve">Numbers reflect the bootstrapped path. Tenants ramp 2 → 5 → 11 across the three years. Per-tenant economics mature to ~$117K/yr net contribution at the Pro tier.</w:t>
      </w:r>
    </w:p>
    <w:p>
      <w:pPr>
        <w:pStyle w:val="Heading1"/>
        <w:spacing w:after="180" w:before="360"/>
      </w:pPr>
      <w:r>
        <w:rPr>
          <w:b/>
          <w:bCs/>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Risk</w:t>
            </w:r>
          </w:p>
        </w:tc>
        <w:tc>
          <w:tcPr>
            <w:tcW w:type="dxa" w:w="5860"/>
            <w:tcBorders>
              <w:top w:val="single" w:color="CCCCCC" w:sz="1"/>
              <w:left w:val="single" w:color="CCCCCC" w:sz="1"/>
              <w:bottom w:val="single" w:color="CCCCCC" w:sz="1"/>
              <w:right w:val="single" w:color="CCCCCC" w:sz="1"/>
            </w:tcBorders>
            <w:shd w:fill="1B3A57" w:val="clear"/>
            <w:tcMar>
              <w:top w:type="dxa" w:w="80"/>
              <w:left w:type="dxa" w:w="120"/>
              <w:bottom w:type="dxa" w:w="80"/>
              <w:right w:type="dxa" w:w="120"/>
            </w:tcMar>
            <w:vAlign w:val="center"/>
          </w:tcPr>
          <w:p>
            <w:pPr>
              <w:jc w:val="left"/>
            </w:pPr>
            <w:r>
              <w:rPr>
                <w:b/>
                <w:bCs/>
                <w:color w:val="FFFFFF"/>
                <w:sz w:val="20"/>
                <w:szCs w:val="20"/>
              </w:rPr>
              <w:t xml:space="preserve">Mitigation</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20"/>
                <w:szCs w:val="20"/>
              </w:rPr>
              <w:t xml:space="preserve">Pilot doesn't hit KPIs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Decision gate at Week 7. Pilot is structured cost-neutral for Lumi — we absorb infra but absorb no cash burn. Worst case is a clean wrap and the partner keeps their network.</w:t>
            </w:r>
          </w:p>
        </w:tc>
      </w:tr>
      <w:tr>
        <w:trPr>
          <w:tblHeader w:val="false"/>
        </w:trPr>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bCs/>
                <w:color w:val="000000"/>
                <w:sz w:val="20"/>
                <w:szCs w:val="20"/>
              </w:rPr>
              <w:t xml:space="preserve">WeChat Service Account verification delays</w:t>
            </w:r>
          </w:p>
        </w:tc>
        <w:tc>
          <w:tcPr>
            <w:tcW w:type="dxa" w:w="5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Use partner's existing verified account (saves 4–6 weeks). Architecture is channel-agnostic so we can start on WhatsApp + LINE and add WeChat as soon as it's ready.</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20"/>
                <w:szCs w:val="20"/>
              </w:rPr>
              <w:t xml:space="preserve">AI hallucinates vendor info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Vendor data is the source of truth; agent is prompt-constrained to never invent vendors, prices, or availability. Honest "I don't know" beats wrong answers.</w:t>
            </w:r>
          </w:p>
        </w:tc>
      </w:tr>
      <w:tr>
        <w:trPr>
          <w:tblHeader w:val="false"/>
        </w:trPr>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bCs/>
                <w:color w:val="000000"/>
                <w:sz w:val="20"/>
                <w:szCs w:val="20"/>
              </w:rPr>
              <w:t xml:space="preserve">Regulatory/PDPA exposure</w:t>
            </w:r>
          </w:p>
        </w:tc>
        <w:tc>
          <w:tcPr>
            <w:tcW w:type="dxa" w:w="5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PII split into encrypted vault from day one. Consent flow at first message. PDPA / GDPR delete-me path. AEROZ's compliance-first DNA carries over.</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bCs/>
                <w:color w:val="000000"/>
                <w:sz w:val="20"/>
                <w:szCs w:val="20"/>
              </w:rPr>
              <w:t xml:space="preserve">Tenant tries to take the platform in-house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Source code never licensed. Brand and AI/memory layer retained by Lumi. Tenant exclusivity is earned (use-it-or-lose-it MAU thresholds), not granted by default.</w:t>
            </w:r>
          </w:p>
        </w:tc>
      </w:tr>
      <w:tr>
        <w:trPr>
          <w:tblHeader w:val="false"/>
        </w:trPr>
        <w:tc>
          <w:tcPr>
            <w:tcW w:type="dxa" w:w="35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bCs/>
                <w:color w:val="000000"/>
                <w:sz w:val="20"/>
                <w:szCs w:val="20"/>
              </w:rPr>
              <w:t xml:space="preserve">Vendor content quality is poor</w:t>
            </w:r>
          </w:p>
        </w:tc>
        <w:tc>
          <w:tcPr>
            <w:tcW w:type="dxa" w:w="58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vAlign w:val="center"/>
          </w:tcPr>
          <w:p>
            <w:pPr>
              <w:jc w:val="left"/>
            </w:pPr>
            <w:r>
              <w:rPr>
                <w:b w:val="false"/>
                <w:bCs w:val="false"/>
                <w:color w:val="000000"/>
                <w:sz w:val="20"/>
                <w:szCs w:val="20"/>
              </w:rPr>
              <w:t xml:space="preserve">First 10 days of pilot are explicit content-quality investment with partner team. AI is only as good as the merchant data. Pilot proposal flags this honestly upfront.</w:t>
            </w:r>
          </w:p>
        </w:tc>
      </w:tr>
    </w:tbl>
    <w:p>
      <w:pPr>
        <w:pStyle w:val="Heading1"/>
        <w:spacing w:after="180" w:before="360"/>
      </w:pPr>
      <w:r>
        <w:rPr>
          <w:b/>
          <w:bCs/>
        </w:rPr>
        <w:t xml:space="preserve">12. The Ask</w:t>
      </w:r>
    </w:p>
    <w:p>
      <w:pPr>
        <w:spacing w:after="120"/>
        <w:jc w:val="left"/>
      </w:pPr>
      <w:r>
        <w:t xml:space="preserve">From the Phuket InCar partner: a signed pilot MOU, 30–40 vehicles equipped, WeChat Service Account access, and a named local lead handler. In return Lumi delivers a working, multi-channel AI concierge tenant operational within 14 days of signing.</w:t>
      </w:r>
    </w:p>
    <w:p>
      <w:pPr>
        <w:spacing w:after="120"/>
        <w:jc w:val="left"/>
      </w:pPr>
      <w:r>
        <w:t xml:space="preserve">From the broader Lumi cap-table conversation (informal): bootstrapped through Year 2 is the default plan. A $750K seed at $4M pre is the only scenario we'd consider, and only if a regional competitor begins moving on the same territory model. Use of funds in that case: accelerate to 3 tenants in Year 1 instead of 2, hire one full-time tenant-success operator, and bring a senior engineer in-house.</w:t>
      </w:r>
    </w:p>
    <w:p>
      <w:r>
        <w:br w:type="page"/>
      </w:r>
    </w:p>
    <w:p>
      <w:pPr>
        <w:pStyle w:val="Heading1"/>
        <w:spacing w:after="180" w:before="360"/>
      </w:pPr>
      <w:r>
        <w:rPr>
          <w:b/>
          <w:bCs/>
        </w:rPr>
        <w:t xml:space="preserve">Appendix — Companion Documents</w:t>
      </w:r>
    </w:p>
    <w:p>
      <w:pPr>
        <w:pStyle w:val="ListParagraph"/>
        <w:numPr>
          <w:ilvl w:val="0"/>
          <w:numId w:val="2"/>
        </w:numPr>
        <w:spacing w:after="60"/>
      </w:pPr>
      <w:r>
        <w:t xml:space="preserve">01_MASTER_ARCHITECTURE.md — full technical specification</w:t>
      </w:r>
    </w:p>
    <w:p>
      <w:pPr>
        <w:pStyle w:val="ListParagraph"/>
        <w:numPr>
          <w:ilvl w:val="0"/>
          <w:numId w:val="2"/>
        </w:numPr>
        <w:spacing w:after="60"/>
      </w:pPr>
      <w:r>
        <w:t xml:space="preserve">02_PARTNER_PROPOSAL_PHUKET.md — direct partner-facing proposal + pilot terms</w:t>
      </w:r>
    </w:p>
    <w:p>
      <w:pPr>
        <w:pStyle w:val="ListParagraph"/>
        <w:numPr>
          <w:ilvl w:val="0"/>
          <w:numId w:val="2"/>
        </w:numPr>
        <w:spacing w:after="60"/>
      </w:pPr>
      <w:r>
        <w:t xml:space="preserve">03_BUSINESS_MODEL.md — deeper revenue stream + unit economics commentary</w:t>
      </w:r>
    </w:p>
    <w:p>
      <w:pPr>
        <w:pStyle w:val="ListParagraph"/>
        <w:numPr>
          <w:ilvl w:val="0"/>
          <w:numId w:val="2"/>
        </w:numPr>
        <w:spacing w:after="60"/>
      </w:pPr>
      <w:r>
        <w:t xml:space="preserve">04_IMPLEMENTATION_ROADMAP.md — phased build sequence</w:t>
      </w:r>
    </w:p>
    <w:p>
      <w:pPr>
        <w:pStyle w:val="ListParagraph"/>
        <w:numPr>
          <w:ilvl w:val="0"/>
          <w:numId w:val="2"/>
        </w:numPr>
        <w:spacing w:after="60"/>
      </w:pPr>
      <w:r>
        <w:t xml:space="preserve">05_FINANCIAL_MODEL.xlsx — driver-based 36-month model</w:t>
      </w:r>
    </w:p>
    <w:p>
      <w:pPr>
        <w:pStyle w:val="ListParagraph"/>
        <w:numPr>
          <w:ilvl w:val="0"/>
          <w:numId w:val="2"/>
        </w:numPr>
        <w:spacing w:after="60"/>
      </w:pPr>
      <w:r>
        <w:t xml:space="preserve">07_PARTNER_PITCH_DECK.pptx — visual partner pitch for in-person meetings</w:t>
      </w:r>
    </w:p>
    <w:p>
      <w:pPr>
        <w:pStyle w:val="ListParagraph"/>
        <w:numPr>
          <w:ilvl w:val="0"/>
          <w:numId w:val="2"/>
        </w:numPr>
        <w:spacing w:after="60"/>
      </w:pPr>
      <w:r>
        <w:t xml:space="preserve">/build/ — deployable starter codebase (FastAPI + Supabase schema + system prompt + env)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Lumi · andre@thatislumi.com · 2026-05-26</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NUM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B142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7"/>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1B3A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2026-05-26T17:02:37.229Z</dcterms:created>
  <dcterms:modified xsi:type="dcterms:W3CDTF">2026-05-26T17:02:37.229Z</dcterms:modified>
</cp:coreProperties>
</file>

<file path=docProps/custom.xml><?xml version="1.0" encoding="utf-8"?>
<Properties xmlns="http://schemas.openxmlformats.org/officeDocument/2006/custom-properties" xmlns:vt="http://schemas.openxmlformats.org/officeDocument/2006/docPropsVTypes"/>
</file>