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56"/>
        </w:rPr>
        <w:t>Memorandum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To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From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Cc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Date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Subject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</w:tbl>
    <w:p>
      <w:pPr>
        <w:spacing w:before="3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1020" w:bottom="1701" w:left="1020" w:header="79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D9D7D3"/>
      </w:pBdr>
    </w:pPr>
    <w:r>
      <w:rPr>
        <w:color w:val="55534F"/>
        <w:sz w:val="14"/>
      </w:rPr>
      <w:t>LumiVerse d.o.o. · Markuševečka cesta 20C, 10000 Zagreb, Hrvatska · OIB 88595646800 · MBS 081511108, Trgovački sud u Zagrebu · Temeljni kapital 2.500,00 EUR</w:t>
    </w:r>
    <w:r>
      <w:rPr>
        <w:color w:val="55534F"/>
        <w:sz w:val="14"/>
      </w:rPr>
      <w:br/>
      <w:t>IBAN HR94 2340 0091 1112 3354 4 · Privredna banka Zagreb d.d. · SWIFT PBZGHR2X · info@lumiverse.hr · lumiverse.hr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987084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x-head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7084" cy="28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Golos Text" w:hAnsi="Golos Text" w:eastAsia="Golos Text"/>
      <w:color w:val="0E0F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