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Kicker"/>
        <w:widowControl/>
      </w:pPr>
      <w:r>
        <w:t>INVESTMENT &amp; SCHOOL PARTNERSHIP BRIEF</w:t>
      </w:r>
    </w:p>
    <w:p>
      <w:pPr>
        <w:pStyle w:val="Title"/>
        <w:widowControl/>
      </w:pPr>
      <w:r>
        <w:t>Plus36 SchoolOS</w:t>
      </w:r>
    </w:p>
    <w:p>
      <w:pPr>
        <w:pStyle w:val="Subtitle"/>
        <w:widowControl/>
      </w:pPr>
      <w:r>
        <w:t>Run a smarter school. Keep parents connected. Help students thrive.</w:t>
      </w:r>
    </w:p>
    <w:p>
      <w:pPr>
        <w:pStyle w:val="Normal"/>
        <w:widowControl/>
      </w:pPr>
      <w:r>
        <w:t>One connected platform brings school administration, a dedicated Parent App and a dedicated Student App together—giving school owners a clearer view of their operations while keeping families involved in learning.</w:t>
      </w:r>
    </w:p>
    <w:p>
      <w:pPr>
        <w:pStyle w:val="Heading1"/>
        <w:widowControl/>
      </w:pPr>
      <w:r>
        <w:t>Your school, connected from office to home</w:t>
      </w:r>
    </w:p>
    <w:p>
      <w:pPr>
        <w:pStyle w:val="Heading2"/>
        <w:widowControl/>
      </w:pPr>
      <w:r>
        <w:t>WEB APP  |  The school’s control centre</w:t>
      </w:r>
    </w:p>
    <w:p>
      <w:pPr>
        <w:pStyle w:val="Normal"/>
        <w:widowControl/>
      </w:pPr>
      <w:r>
        <w:t>Manage students, parents, teachers, classes, subjects, academic years, terms, campuses and course registrations. Track attendance, prepare and approve assessments, publish results, import/export scores and issue transcripts with QR verification.</w:t>
      </w:r>
    </w:p>
    <w:p>
      <w:pPr>
        <w:pStyle w:val="Normal"/>
        <w:widowControl/>
      </w:pPr>
      <w:r>
        <w:t>Manage fee invoices, instalments, payment records and receipts, scholarships, expenses and payroll. Coordinate homework, events, announcements and parent conversations. Run computer-based tests with grading and teacher review, and manage hostels, library loans, transport assignments, school wallets and marketplace orders.</w:t>
      </w:r>
    </w:p>
    <w:p>
      <w:pPr>
        <w:pStyle w:val="Normal"/>
        <w:widowControl/>
      </w:pPr>
      <w:r>
        <w:t>Leadership dashboards bring together revenue, outstanding fees, attendance and academic trends. Student-support indicators and intervention tracking help staff identify who needs attention. AI tools support lesson plans, exam questions, report comments and principal summaries, subject to educator review.</w:t>
      </w:r>
    </w:p>
    <w:p>
      <w:pPr>
        <w:pStyle w:val="Heading2"/>
        <w:widowControl/>
      </w:pPr>
      <w:r>
        <w:t>PARENT APP  |  Confidence in every school day</w:t>
      </w:r>
    </w:p>
    <w:p>
      <w:pPr>
        <w:pStyle w:val="Normal"/>
        <w:widowControl/>
      </w:pPr>
      <w:r>
        <w:t>Switch between children, follow results and attendance, see homework and school events, and receive learning recommendations and notifications. View fee balances and payment history, pay fees or scheduled instalments through Paystack, and message teachers or school leaders directly. Cached information stays accessible during connection interruptions.</w:t>
      </w:r>
    </w:p>
    <w:p>
      <w:pPr>
        <w:pStyle w:val="Heading2"/>
        <w:widowControl/>
      </w:pPr>
      <w:r>
        <w:t>STUDENT APP  |  Learning, within reach</w:t>
      </w:r>
    </w:p>
    <w:p>
      <w:pPr>
        <w:pStyle w:val="Normal"/>
        <w:widowControl/>
      </w:pPr>
      <w:r>
        <w:t>A personal dashboard gives students access to published results, attendance, homework, upcoming events and available computer-based exams. Cached dashboard information supports access when connectivity drops.</w:t>
      </w:r>
    </w:p>
    <w:p>
      <w:pPr>
        <w:pStyle w:val="Heading1"/>
        <w:widowControl/>
      </w:pPr>
      <w:r>
        <w:t>A practical opportunity for a school owner</w:t>
      </w:r>
    </w:p>
    <w:p>
      <w:pPr>
        <w:pStyle w:val="Normal"/>
        <w:widowControl/>
      </w:pPr>
      <w:r>
        <w:t>SchoolOS is designed to reduce routine administration, make fee follow-up easier, strengthen parent engagement and support earlier academic intervention. School-specific branding, access permissions and subscription management provide a foundation for serving multiple schools.</w:t>
      </w:r>
    </w:p>
    <w:p>
      <w:pPr>
        <w:pStyle w:val="Normal"/>
        <w:widowControl/>
      </w:pPr>
      <w:r>
        <w:t>The partnership opportunity: pilot SchoolOS in your school, shape it with real operational feedback, and explore investment to support rollout and expansion to other schools. Your school experience can help turn a broad product into a service schools trust and continue using.</w:t>
      </w:r>
    </w:p>
    <w:p>
      <w:pPr>
        <w:pStyle w:val="Closing"/>
        <w:widowControl/>
      </w:pPr>
      <w:r>
        <w:t>Let’s start with a live demonstration and a focused school pilot.</w:t>
      </w:r>
    </w:p>
    <w:p>
      <w:pPr>
        <w:pStyle w:val="Note"/>
        <w:widowControl/>
      </w:pPr>
      <w:r>
        <w:t>Feature availability depends on the school’s plan and configured services. Payments and sign-in require internet access.</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styleId="Normal">
    <w:name w:val="Normal"/>
    <w:basedOn w:val="Normal"/>
    <w:pPr>
      <w:spacing w:before="0" w:after="120" w:line="264" w:lineRule="auto"/>
      <w:jc w:val="left"/>
    </w:pPr>
    <w:rPr>
      <w:rFonts w:ascii="Calibri" w:hAnsi="Calibri"/>
      <w:color w:val="243447"/>
      <w:sz w:val="22"/>
    </w:rPr>
  </w:style>
  <w:style w:type="paragraph" w:styleId="Title">
    <w:name w:val="Title"/>
    <w:basedOn w:val="Normal"/>
    <w:pPr>
      <w:spacing w:before="0" w:after="80" w:line="264" w:lineRule="auto"/>
      <w:jc w:val="center"/>
      <w:keepNext/>
    </w:pPr>
    <w:rPr>
      <w:rFonts w:ascii="Calibri" w:hAnsi="Calibri"/>
      <w:color w:val="0B2545"/>
      <w:sz w:val="56"/>
      <w:b/>
    </w:rPr>
  </w:style>
  <w:style w:type="paragraph" w:styleId="Subtitle">
    <w:name w:val="Subtitle"/>
    <w:basedOn w:val="Normal"/>
    <w:pPr>
      <w:spacing w:before="0" w:after="200" w:line="264" w:lineRule="auto"/>
      <w:jc w:val="center"/>
      <w:keepNext/>
    </w:pPr>
    <w:rPr>
      <w:rFonts w:ascii="Calibri" w:hAnsi="Calibri"/>
      <w:color w:val="1F4D78"/>
      <w:sz w:val="24"/>
    </w:rPr>
  </w:style>
  <w:style w:type="paragraph" w:styleId="Heading1">
    <w:name w:val="Heading1"/>
    <w:basedOn w:val="Normal"/>
    <w:pPr>
      <w:spacing w:before="320" w:after="160" w:line="264" w:lineRule="auto"/>
      <w:jc w:val="left"/>
      <w:keepNext/>
    </w:pPr>
    <w:rPr>
      <w:rFonts w:ascii="Calibri" w:hAnsi="Calibri"/>
      <w:color w:val="2E74B5"/>
      <w:sz w:val="32"/>
      <w:b/>
    </w:rPr>
  </w:style>
  <w:style w:type="paragraph" w:styleId="Heading2">
    <w:name w:val="Heading2"/>
    <w:basedOn w:val="Normal"/>
    <w:pPr>
      <w:spacing w:before="240" w:after="120" w:line="264" w:lineRule="auto"/>
      <w:jc w:val="left"/>
      <w:keepNext/>
    </w:pPr>
    <w:rPr>
      <w:rFonts w:ascii="Calibri" w:hAnsi="Calibri"/>
      <w:color w:val="2E74B5"/>
      <w:sz w:val="26"/>
      <w:b/>
    </w:rPr>
  </w:style>
  <w:style w:type="paragraph" w:styleId="Heading3">
    <w:name w:val="Heading3"/>
    <w:basedOn w:val="Normal"/>
    <w:pPr>
      <w:spacing w:before="160" w:after="80" w:line="264" w:lineRule="auto"/>
      <w:jc w:val="left"/>
      <w:keepNext/>
    </w:pPr>
    <w:rPr>
      <w:rFonts w:ascii="Calibri" w:hAnsi="Calibri"/>
      <w:color w:val="1F4D78"/>
      <w:sz w:val="24"/>
      <w:b/>
    </w:rPr>
  </w:style>
  <w:style w:type="paragraph" w:styleId="Kicker">
    <w:name w:val="Kicker"/>
    <w:basedOn w:val="Normal"/>
    <w:pPr>
      <w:spacing w:before="0" w:after="120" w:line="264" w:lineRule="auto"/>
      <w:jc w:val="center"/>
      <w:keepNext/>
    </w:pPr>
    <w:rPr>
      <w:rFonts w:ascii="Calibri" w:hAnsi="Calibri"/>
      <w:color w:val="526577"/>
      <w:sz w:val="18"/>
      <w:b/>
    </w:rPr>
  </w:style>
  <w:style w:type="paragraph" w:styleId="Closing">
    <w:name w:val="Closing"/>
    <w:basedOn w:val="Normal"/>
    <w:pPr>
      <w:spacing w:before="80" w:after="120" w:line="264" w:lineRule="auto"/>
      <w:jc w:val="left"/>
      <w:keepNext/>
    </w:pPr>
    <w:rPr>
      <w:rFonts w:ascii="Calibri" w:hAnsi="Calibri"/>
      <w:color w:val="1F4D78"/>
      <w:sz w:val="22"/>
      <w:b/>
    </w:rPr>
  </w:style>
  <w:style w:type="paragraph" w:styleId="Note">
    <w:name w:val="Note"/>
    <w:basedOn w:val="Normal"/>
    <w:pPr>
      <w:spacing w:before="80" w:after="0" w:line="264" w:lineRule="auto"/>
      <w:jc w:val="left"/>
      <w:keepNext/>
    </w:pPr>
    <w:rPr>
      <w:rFonts w:ascii="Calibri" w:hAnsi="Calibri"/>
      <w:color w:val="526577"/>
      <w:sz w:val="16"/>
    </w:rPr>
  </w:style>
</w:styles>
</file>

<file path=word/_rels/document.xml.rels><?xml version="1.0"?><Relationships xmlns="http://schemas.openxmlformats.org/package/2006/relationships"><Relationship Id="rId1" Type="http://schemas.openxmlformats.org/officeDocument/2006/relationships/styles" Target="styles.xml"/></Relationships>

</file>