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720" w:after="160"/>
        <w:jc w:val="center"/>
      </w:pPr>
      <w:r>
        <w:rPr>
          <w:rFonts w:ascii="STHeiti" w:hAnsi="STHeiti" w:eastAsia="STHeiti"/>
          <w:b/>
          <w:color w:val="4E3D68"/>
          <w:sz w:val="58"/>
        </w:rPr>
        <w:t>Lumielle Academic Assistant</w:t>
      </w:r>
    </w:p>
    <w:p>
      <w:pPr>
        <w:spacing w:after="360"/>
        <w:jc w:val="center"/>
      </w:pPr>
      <w:r>
        <w:rPr>
          <w:rFonts w:ascii="STHeiti" w:hAnsi="STHeiti" w:eastAsia="STHeiti"/>
          <w:b/>
          <w:color w:val="665184"/>
          <w:sz w:val="38"/>
        </w:rPr>
        <w:t>微光 · 学术论文助手</w:t>
      </w:r>
    </w:p>
    <w:p>
      <w:pPr>
        <w:spacing w:after="320"/>
        <w:jc w:val="center"/>
      </w:pPr>
      <w:r>
        <w:rPr>
          <w:rFonts w:ascii="STHeiti" w:hAnsi="STHeiti" w:eastAsia="STHeiti"/>
          <w:b w:val="0"/>
          <w:color w:val="716D79"/>
          <w:sz w:val="28"/>
        </w:rPr>
        <w:t>从研究资料到论文终稿的一站式本地写作助手</w:t>
      </w:r>
    </w:p>
    <w:p>
      <w:pPr>
        <w:spacing w:after="260"/>
        <w:jc w:val="center"/>
      </w:pPr>
      <w:r>
        <w:rPr>
          <w:rFonts w:ascii="STHeiti" w:hAnsi="STHeiti" w:eastAsia="STHeiti"/>
          <w:b/>
          <w:color w:val="4E3D68"/>
          <w:sz w:val="22"/>
        </w:rPr>
        <w:t>v1.1.0 — Unreleased</w:t>
      </w:r>
    </w:p>
    <w:p>
      <w:pPr>
        <w:spacing w:before="300" w:after="400"/>
        <w:jc w:val="center"/>
      </w:pPr>
      <w:r>
        <w:rPr>
          <w:rFonts w:ascii="STHeiti" w:hAnsi="STHeiti" w:eastAsia="STHeiti"/>
          <w:b w:val="0"/>
          <w:color w:val="34323A"/>
          <w:sz w:val="22"/>
        </w:rPr>
        <w:t>不需要编程知识。把研究资料、文献和写作过程放在一个清楚的工作流里。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第一次使用 / FIRST TIME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从第 2 页开始，前四页可以带你完成第一次写作流程。</w:t>
            </w:r>
          </w:p>
        </w:tc>
      </w:tr>
    </w:tbl>
    <w:p>
      <w:pPr>
        <w:spacing w:line="274" w:lineRule="auto" w:after="40"/>
      </w:pPr>
    </w:p>
    <w:p>
      <w:pPr>
        <w:spacing w:before="680"/>
        <w:jc w:val="center"/>
      </w:pPr>
      <w:r>
        <w:rPr>
          <w:rFonts w:ascii="STHeiti" w:hAnsi="STHeiti" w:eastAsia="STHeiti"/>
          <w:b w:val="0"/>
          <w:color w:val="716D79"/>
          <w:sz w:val="18"/>
        </w:rPr>
        <w:t>辅助整理与起草；研究判断、资料核验和终稿责任仍属于作者。</w:t>
      </w: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30 秒认识微光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为什么不直接和 AI 聊天？普通对话适合单次问答；一篇论文通常要跨章节整理资料、反复修改并核对来源。微光把这些步骤放在同一个写作工作区，方便你按论文结构继续工作。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写论文时的常见难点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微光提供的帮助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长对话不容易回顾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课题、资料、大纲和章节分开保存，方便接着写。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中间章节改过后容易忘记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保存修改后会尝试重建章节记忆，后续生成可使用更新后的记忆。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长文献里的方法和结果容易遗漏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对可读取的全文按顺序分析，再整理研究相关内容。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文献和章节关系不清楚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先把文献分配到适合的章节，正文从已绑定文献中选依据。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写完还要另找排版工具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可选排版预设并导出 Word，再由作者检查。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一篇论文的大致路线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2459"/>
        <w:gridCol w:w="2459"/>
        <w:gridCol w:w="2459"/>
        <w:gridCol w:w="2459"/>
      </w:tblGrid>
      <w:tr>
        <w:trPr>
          <w:cantSplit/>
        </w:trPr>
        <w:tc>
          <w:tcPr>
            <w:tcW w:type="dxa" w:w="2448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1 设置课题</w:t>
            </w:r>
          </w:p>
        </w:tc>
        <w:tc>
          <w:tcPr>
            <w:tcW w:type="dxa" w:w="2448"/>
            <w:shd w:fill="F7F5F9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2 整理研究资料</w:t>
            </w:r>
          </w:p>
        </w:tc>
        <w:tc>
          <w:tcPr>
            <w:tcW w:type="dxa" w:w="2448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3 导入参考文献</w:t>
            </w:r>
          </w:p>
        </w:tc>
        <w:tc>
          <w:tcPr>
            <w:tcW w:type="dxa" w:w="2448"/>
            <w:shd w:fill="F7F5F9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4 检查逻辑大纲</w:t>
            </w:r>
          </w:p>
        </w:tc>
      </w:tr>
    </w:tbl>
    <w:p>
      <w:pPr>
        <w:spacing w:line="274" w:lineRule="auto" w:after="0"/>
        <w:jc w:val="center"/>
      </w:pPr>
      <w:r>
        <w:rPr>
          <w:rFonts w:ascii="STHeiti" w:hAnsi="STHeiti" w:eastAsia="STHeiti"/>
          <w:b/>
          <w:color w:val="665184"/>
          <w:sz w:val="26"/>
        </w:rPr>
        <w:t>↓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78"/>
        <w:gridCol w:w="3278"/>
        <w:gridCol w:w="3278"/>
      </w:tblGrid>
      <w:tr>
        <w:trPr>
          <w:cantSplit/>
        </w:trPr>
        <w:tc>
          <w:tcPr>
            <w:tcW w:type="dxa" w:w="3264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5 逐章写作</w:t>
            </w:r>
          </w:p>
        </w:tc>
        <w:tc>
          <w:tcPr>
            <w:tcW w:type="dxa" w:w="3264"/>
            <w:shd w:fill="F7F5F9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6 检查全文</w:t>
            </w:r>
          </w:p>
        </w:tc>
        <w:tc>
          <w:tcPr>
            <w:tcW w:type="dxa" w:w="3264"/>
            <w:shd w:fill="F2EEF7"/>
            <w:tcMar>
              <w:top w:w="105" w:type="dxa"/>
              <w:start w:w="40" w:type="dxa"/>
              <w:bottom w:w="105" w:type="dxa"/>
              <w:end w:w="40" w:type="dxa"/>
            </w:tcMar>
          </w:tcPr>
          <w:p>
            <w:pPr>
              <w:spacing w:after="0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7"/>
              </w:rPr>
              <w:t>7 导出 Word</w:t>
            </w:r>
          </w:p>
        </w:tc>
      </w:tr>
    </w:tbl>
    <w:p>
      <w:pPr>
        <w:spacing w:line="274" w:lineRule="auto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建议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资料不必一次准备完整。可以先从研究目标和一两篇核心文献开始，后续随时补充。</w:t>
            </w:r>
          </w:p>
        </w:tc>
      </w:tr>
    </w:tbl>
    <w:p>
      <w:pPr>
        <w:spacing w:line="274" w:lineRule="auto" w:after="40"/>
      </w:pP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快速开始：准备好第一次写作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第 0 步：启动软件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Windows：双击下载的 ZIP 压缩包完成解压，打开解压后的文件夹，再双击中文版「一键启动.bat」或英文版「Launch.bat」。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macOS：双击 ZIP 文件解压，再打开文件夹，双击「一键启动.command」或「Launch.command」。若系统首次拦截，可在 Finder 中按住 Control 点击启动文件，选择“打开”，再按系统提示确认。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8F3E8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注意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不要打开命令行，也不需要手动安装 Python。第一次启动请等待浏览器打开；准备时间会因电脑而异。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第 1 步：连接你使用的 AI 服务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微光负责整理课题、资料、大纲和章节；生成正文时还需要连接模型服务。API Key 是你在所用服务平台注册后获得的访问密钥。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选择服务平台。在 LLM 配置区域选择你正在使用的平台。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填写 API Key 并拉取模型列表。密钥由服务平台提供。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选择写作用的模型。之后需要时可以再调整。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隐私与费用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模型请求会把本次所需的提示和资料发送到你选择的服务平台；平台可能按用量收费。请查看其隐私和计费说明。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第 2 步：告诉微光你在研究什么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在左侧栏填写「研究课题 / 核心论点」和「预期总字数」。这两项会帮助系统规划大纲和章节篇幅，之后可以修改。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准备好了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下一页会带你放入自己的研究资料和文献，再生成第一份大纲与章节草稿。</w:t>
            </w:r>
          </w:p>
        </w:tc>
      </w:tr>
    </w:tbl>
    <w:p>
      <w:pPr>
        <w:spacing w:line="274" w:lineRule="auto" w:after="40"/>
      </w:pP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快速开始：从资料到 Word 初稿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放入自己的研究资料。打开「科研基座」，上传任务书、研究背景、方法、实验数据或结论，支持 PDF、Word（DOCX）、TXT，也可以粘贴文字。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导入核心参考文献。打开「文献处理」，加入与课题最相关的文献全文。支持 PDF、Word、TXT 或粘贴文字。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先生成并检查大纲。打开「逻辑链路」，生成论文结构；检查章节标题、顺序、篇幅和文献分配，再修改不合适的部分。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4. </w:t>
      </w:r>
      <w:r>
        <w:rPr>
          <w:rFonts w:ascii="STHeiti" w:hAnsi="STHeiti" w:eastAsia="STHeiti"/>
          <w:b w:val="0"/>
          <w:color w:val="34323A"/>
          <w:sz w:val="19"/>
        </w:rPr>
        <w:t>先写一章试试。打开「章节写作」，选中一个章节生成正文。先检查内容、数字、引用和语气，再决定是否批量写作。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提示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科研资料的“允许参与正文写作”选项在界面上显示为「允许本板块的相关事实参与正文 Grounding」。简单说，打开后，系统会在适合的章节中采用这部分资料里的重要事实；不会把整份资料原样放进每一章。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写到第五章后，还能修改第二章吗？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可以。回到第二章，在编辑区修改文字，然后点击「手动保存并凝练记忆」。界面会先保存正文，再尝试根据修改后的完整章节更新记忆。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请记住这个顺序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修改文字 → 点击「手动保存并凝练记忆」→ 等待记忆更新提示。若更新失败，正文仍已保存，之前有效的记忆会保留；可以稍后再次点击。其他已写章节不会自动重写。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最后：导出 Word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在「章节写作」页面的 Word 导出区域选择排版预设，再点击「立即生成 Word 文档」。导出后检查引用、页码、表格和分页；学校格式以学校要求为准。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四页后怎么查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科研资料见功能详解第 1 节，文献和大纲见第 2-3 节，章节修改见第 4 节，Word 排版见第 7 节。</w:t>
            </w:r>
          </w:p>
        </w:tc>
      </w:tr>
    </w:tbl>
    <w:p>
      <w:pPr>
        <w:spacing w:line="274" w:lineRule="auto" w:after="40"/>
      </w:pP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功能详解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1. 把自己的研究资料放在科研基座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科研基座适合保存“只有你最清楚的研究信息”：研究任务与目标、背景、理论概念、实验或访谈方法、数据、结果和研究限制。每项资料可以上传文件、粘贴文字或手动补充。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分不清放哪一类时，可上传到「智能归档 / 未分类科研资料」。系统会建议归类位置和用途；接受前你可以修改，不合适就不要接受。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每个资料区域都可单独设置是否“允许参与正文写作”（界面显示为「允许本板块的相关事实参与正文 Grounding」）。打开后，相关事实才可能用于适合的章节；关闭后，已保存事实仍能帮助规划大纲。按用途选择，不需要把每个开关都打开。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资料例子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通常更适合的用途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研究目标、问题、理论定义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帮助规划大纲，也可能用于解释相关章节。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实验方法、样本、数据和结果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在相关章节写作时提供事实依据。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行政说明、无关附件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通常不需要进入正文写作。</w:t>
            </w:r>
          </w:p>
        </w:tc>
      </w:tr>
    </w:tbl>
    <w:p>
      <w:pPr>
        <w:spacing w:line="274" w:lineRule="auto" w:after="40"/>
      </w:pP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支持的资料方式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上传 PDF、Word（DOCX）或 TXT，或直接粘贴文字。系统会按顺序整理可读取的资料；若文件只有扫描图片而没有可读取文字，目前不会自动识别图片文字。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小提示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先检查提取出的内容和来源，再决定是否保存。分类建议只是建议，研究事实由你确认。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2. 文献：从全文找到与章节相关的依据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在「文献处理」导入 PDF、Word（DOCX）、TXT，或粘贴文献文字。对可读取的全文，系统会按顺序分析并整理研究问题、方法、样本、结果和限制等信息；扫描图片不会自动识别。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文献星级主要表示它与当前课题的相关程度和使用价值；研究方法、证据强度与局限会另行考虑。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生成大纲时可把文献分配到相应章节，之后也能修改。正文生成时只从当前章节已绑定的文献中选择依据。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正文事实、引文和解释仍需回到原文核对。导入文献不等于其结论已被独立验证。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文献导入建议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先导入少量核心文献并检查分析结果，再逐步补充文献库。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3. 先看逻辑大纲，再写正文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在「逻辑链路」根据课题、科研资料和文献生成论文大纲。把它当作可编辑的写作计划，而不是必须照抄的最终结构。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检查章节标题、顺序是否回答研究问题；按任务要求调整子章节和目标篇幅。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检查每章准备使用的文献，以及大纲中的图表建议。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什么时候开始写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至少确认研究问题、章节顺序和主要文献分配后，再进入章节写作。先生成一章可以检查整体风格。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4. 章节写作与章节记忆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每次生成时，当前章节是重点。微光还会结合论文大纲、已经写过的内容、后续章节边界，以及本章允许使用的研究资料和文献依据。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vAlign w:val="center"/>
            <w:shd w:fill="F7F5F9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论文整体大纲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帮助模型知道整篇论文结构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FFFFFF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前面已写内容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使用从完整章节生成的精简记忆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665184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FFFFFF"/>
                <w:sz w:val="18"/>
              </w:rPr>
              <w:t>当前章节</w:t>
            </w:r>
            <w:r>
              <w:rPr>
                <w:rFonts w:ascii="STHeiti" w:hAnsi="STHeiti" w:eastAsia="STHeiti"/>
                <w:b w:val="0"/>
                <w:color w:val="FFFFFF"/>
                <w:sz w:val="17"/>
              </w:rPr>
              <w:t xml:space="preserve">  |  本次生成与修改的重点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FFFFFF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后面已写章节 / 尚未写章节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已写内容供衔接参考；未写章节只作边界提示</w:t>
            </w:r>
          </w:p>
        </w:tc>
      </w:tr>
      <w:tr>
        <w:trPr>
          <w:cantSplit/>
        </w:trPr>
        <w:tc>
          <w:tcPr>
            <w:tcW w:type="dxa" w:w="9792"/>
            <w:vAlign w:val="center"/>
            <w:shd w:fill="F7F5F9"/>
            <w:tcMar>
              <w:top w:w="65" w:type="dxa"/>
              <w:start w:w="110" w:type="dxa"/>
              <w:bottom w:w="65" w:type="dxa"/>
              <w:end w:w="110" w:type="dxa"/>
            </w:tcMar>
          </w:tcPr>
          <w:p>
            <w:pPr>
              <w:spacing w:after="0" w:line="245" w:lineRule="auto"/>
              <w:jc w:val="center"/>
            </w:pPr>
            <w:r>
              <w:rPr>
                <w:rFonts w:ascii="STHeiti" w:hAnsi="STHeiti" w:eastAsia="STHeiti"/>
                <w:b/>
                <w:color w:val="4E3D68"/>
                <w:sz w:val="18"/>
              </w:rPr>
              <w:t>本章可用资料与已绑定文献</w:t>
            </w:r>
            <w:r>
              <w:rPr>
                <w:rFonts w:ascii="STHeiti" w:hAnsi="STHeiti" w:eastAsia="STHeiti"/>
                <w:b w:val="0"/>
                <w:color w:val="34323A"/>
                <w:sz w:val="17"/>
              </w:rPr>
              <w:t xml:space="preserve">  |  按章节挑选，不会把整个资料库都塞进正文</w:t>
            </w:r>
          </w:p>
        </w:tc>
      </w:tr>
    </w:tbl>
    <w:p>
      <w:pPr>
        <w:spacing w:line="274" w:lineRule="auto" w:after="40"/>
      </w:pP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这些信息共同组成当前章节的写作上下文。已写章节会根据完整章节正文生成精简记忆，后续写作使用摘要；并不是每次把所有旧正文全文重新发送。这样可以降低遗忘、重复和前后不一致的风险，但仍需作者检查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修改已经写过的章节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回到要修改的章节并编辑正文。只修改需要调整的部分。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点击「手动保存并凝练记忆」。正文先保存，然后系统尝试用修改后的完整章节重建记忆。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确认页面提示。成功后后续章节可使用新记忆；失败时旧记忆保留，可以保存重试。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不会自动发生的事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其他已写章节不会因为记忆更新而自动改写。若需要同步，请逐章检查和编辑。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5. 单章写作和批量写作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方式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适合什么时候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单章生成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第一次试用、重视逐章检查，或只想修改某个章节。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批量生成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大纲已经清楚，想先得到完整初稿再逐章修改。</w:t>
            </w:r>
          </w:p>
        </w:tc>
      </w:tr>
    </w:tbl>
    <w:p>
      <w:pPr>
        <w:spacing w:line="274" w:lineRule="auto" w:after="40"/>
      </w:pP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建议第一次先写一章。批量完成后仍可回到任意章节编辑、保存并更新记忆；请检查内容是否重复、遗漏或与其他章节不一致。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6. 图表、图片和 AIGC 辅助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图表与图片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图表应使用你提供或核实的数据。没有数据时不会把虚构数字当成研究结果；只有你明确要求示意图时才会使用示意数据。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可在相关章节附加自己的图片，并检查说明、位置和清晰度。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AIGC 检测与改写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检测结果是辅助参考，不是具有统计学保证的机器结论，也不能单独证明文字由谁撰写。改写后请核对事实、数字、术语、引用和研究含义。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学术责任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不要为了追求较低的检测分数而改变研究事实或隐去必要引用。最终内容由作者负责。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7. 让论文自动套用排版格式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在 Word 导出区域选择排版预设。学校格式差异较大，导出后仍需对照学校最新要求检查。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预设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简单理解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General Academic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通用学术版式，包含页码等常见元素，并使用三线表风格。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Legacy Compatible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更接近旧版版式，采用传统网格表，默认不增加页码和编号标题。</w:t>
            </w:r>
          </w:p>
        </w:tc>
      </w:tr>
    </w:tbl>
    <w:p>
      <w:pPr>
        <w:spacing w:line="274" w:lineRule="auto" w:after="40"/>
      </w:pP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学校格式文件与文字要求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你不需要会写 JSON。它只是保存设置的一种文件格式；如果老师或同学提供学校排版预设，可以直接导入并选择使用。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只有文字要求时，可以输入“正文宋体小四、1.5 倍行距”等描述生成排版预览。检查预览，再保存或选择设置，最后导出 Word。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导出后请检查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核对封面、页码、标题、表格、图表、引用和参考文献表；不同 Word 兼容软件的分页可能略有差异。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推荐的论文写作顺序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1. </w:t>
      </w:r>
      <w:r>
        <w:rPr>
          <w:rFonts w:ascii="STHeiti" w:hAnsi="STHeiti" w:eastAsia="STHeiti"/>
          <w:b w:val="0"/>
          <w:color w:val="34323A"/>
          <w:sz w:val="19"/>
        </w:rPr>
        <w:t>设置课题和目标篇幅。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2. </w:t>
      </w:r>
      <w:r>
        <w:rPr>
          <w:rFonts w:ascii="STHeiti" w:hAnsi="STHeiti" w:eastAsia="STHeiti"/>
          <w:b w:val="0"/>
          <w:color w:val="34323A"/>
          <w:sz w:val="19"/>
        </w:rPr>
        <w:t>整理自己的研究资料，先放入目标、方法、数据和限制。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3. </w:t>
      </w:r>
      <w:r>
        <w:rPr>
          <w:rFonts w:ascii="STHeiti" w:hAnsi="STHeiti" w:eastAsia="STHeiti"/>
          <w:b w:val="0"/>
          <w:color w:val="34323A"/>
          <w:sz w:val="19"/>
        </w:rPr>
        <w:t>导入核心参考文献，检查全文分析和来源信息。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4. </w:t>
      </w:r>
      <w:r>
        <w:rPr>
          <w:rFonts w:ascii="STHeiti" w:hAnsi="STHeiti" w:eastAsia="STHeiti"/>
          <w:b w:val="0"/>
          <w:color w:val="34323A"/>
          <w:sz w:val="19"/>
        </w:rPr>
        <w:t>生成并检查逻辑大纲，调整章节、篇幅、文献和图表建议。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5. </w:t>
      </w:r>
      <w:r>
        <w:rPr>
          <w:rFonts w:ascii="STHeiti" w:hAnsi="STHeiti" w:eastAsia="STHeiti"/>
          <w:b w:val="0"/>
          <w:color w:val="34323A"/>
          <w:sz w:val="19"/>
        </w:rPr>
        <w:t>先生成一到两章，检查语气、事实、数字和引用。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6. </w:t>
      </w:r>
      <w:r>
        <w:rPr>
          <w:rFonts w:ascii="STHeiti" w:hAnsi="STHeiti" w:eastAsia="STHeiti"/>
          <w:b w:val="0"/>
          <w:color w:val="34323A"/>
          <w:sz w:val="19"/>
        </w:rPr>
        <w:t>调整风格后继续完成初稿。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7. </w:t>
      </w:r>
      <w:r>
        <w:rPr>
          <w:rFonts w:ascii="STHeiti" w:hAnsi="STHeiti" w:eastAsia="STHeiti"/>
          <w:b w:val="0"/>
          <w:color w:val="34323A"/>
          <w:sz w:val="19"/>
        </w:rPr>
        <w:t>修改中间章节时保存并凝练记忆；后续使用新记忆，已写章节不会自动改写。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8. </w:t>
      </w:r>
      <w:r>
        <w:rPr>
          <w:rFonts w:ascii="STHeiti" w:hAnsi="STHeiti" w:eastAsia="STHeiti"/>
          <w:b w:val="0"/>
          <w:color w:val="34323A"/>
          <w:sz w:val="19"/>
        </w:rPr>
        <w:t>检查全文逻辑、引用和资料来源。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9. </w:t>
      </w:r>
      <w:r>
        <w:rPr>
          <w:rFonts w:ascii="STHeiti" w:hAnsi="STHeiti" w:eastAsia="STHeiti"/>
          <w:b w:val="0"/>
          <w:color w:val="34323A"/>
          <w:sz w:val="19"/>
        </w:rPr>
        <w:t>按需使用 AIGC 辅助检查，不要改变研究含义。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10. </w:t>
      </w:r>
      <w:r>
        <w:rPr>
          <w:rFonts w:ascii="STHeiti" w:hAnsi="STHeiti" w:eastAsia="STHeiti"/>
          <w:b w:val="0"/>
          <w:color w:val="34323A"/>
          <w:sz w:val="19"/>
        </w:rPr>
        <w:t>选择排版预设并导出 Word。</w:t>
      </w:r>
    </w:p>
    <w:p>
      <w:pPr>
        <w:spacing w:after="60" w:line="269" w:lineRule="auto"/>
        <w:ind w:left="360" w:hanging="360"/>
      </w:pPr>
      <w:r>
        <w:rPr>
          <w:rFonts w:ascii="STHeiti" w:hAnsi="STHeiti" w:eastAsia="STHeiti"/>
          <w:b/>
          <w:color w:val="665184"/>
          <w:sz w:val="19"/>
        </w:rPr>
        <w:t xml:space="preserve">11. </w:t>
      </w:r>
      <w:r>
        <w:rPr>
          <w:rFonts w:ascii="STHeiti" w:hAnsi="STHeiti" w:eastAsia="STHeiti"/>
          <w:b w:val="0"/>
          <w:color w:val="34323A"/>
          <w:sz w:val="19"/>
        </w:rPr>
        <w:t>对照学校要求人工校对。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9792"/>
      </w:tblGrid>
      <w:tr>
        <w:trPr>
          <w:cantSplit/>
        </w:trPr>
        <w:tc>
          <w:tcPr>
            <w:tcW w:type="dxa" w:w="9792"/>
            <w:shd w:fill="F2EEF7"/>
            <w:tcMar>
              <w:top w:w="110" w:type="dxa"/>
              <w:start w:w="145" w:type="dxa"/>
              <w:bottom w:w="110" w:type="dxa"/>
              <w:end w:w="145" w:type="dxa"/>
            </w:tcMar>
            <w:vAlign w:val="center"/>
          </w:tcPr>
          <w:p>
            <w:pPr>
              <w:spacing w:after="0" w:line="264" w:lineRule="auto"/>
            </w:pPr>
            <w:r>
              <w:rPr>
                <w:rFonts w:ascii="STHeiti" w:hAnsi="STHeiti" w:eastAsia="STHeiti"/>
                <w:b/>
                <w:color w:val="665184"/>
                <w:sz w:val="19"/>
              </w:rPr>
              <w:t xml:space="preserve">完成前最后核对  </w:t>
            </w:r>
            <w:r>
              <w:rPr>
                <w:rFonts w:ascii="STHeiti" w:hAnsi="STHeiti" w:eastAsia="STHeiti"/>
                <w:b w:val="0"/>
                <w:color w:val="34323A"/>
                <w:sz w:val="19"/>
              </w:rPr>
              <w:t>数据、关键结论、引文页码和参考文献都应与原始来源逐项核实。</w:t>
            </w:r>
          </w:p>
        </w:tc>
      </w:tr>
    </w:tbl>
    <w:p>
      <w:pPr>
        <w:spacing w:line="274" w:lineRule="auto" w:after="40"/>
      </w:pP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常见问题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我一定要上传任务书吗？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不需要。可以从研究目标、方法、数据或核心文献开始。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所有资料都要参与正文写作吗？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不需要。只开放与章节有关的事实；无关附件和行政说明通常不适合进入正文。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文献很长，会只读摘要或开头吗？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可读取文字的全文会按顺序分析。扫描图片没有文字层时，需要先在其他工具中识别文字。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修改第二章后，需要重写整篇吗？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不需要。后续请求可使用新记忆；其他已写章节不会自动重写。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微光会自己编参考文献吗？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选择范围来自已导入并分配的文献，但事实和引用解释仍须回到原文核验。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可以直接提交导出的论文吗？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不要把导出结果当作无需检查的终稿。作者仍需核验数据、引用、格式和学术规范。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扫描 PDF 为什么读不出来？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当前版本不会自动识别扫描图片文字；请先获得可搜索 PDF 或文字稿。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没有学校预设怎么办？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先用内置预设，或导入别人提供的预设；也可以从文字要求生成预览后再选择。</w:t>
      </w:r>
    </w:p>
    <w:p>
      <w:pPr>
        <w:pStyle w:val="Heading2"/>
        <w:keepNext/>
        <w:pageBreakBefore/>
      </w:pPr>
      <w:r>
        <w:rPr>
          <w:rFonts w:ascii="STHeiti" w:hAnsi="STHeiti" w:eastAsia="STHeiti"/>
          <w:b/>
          <w:color w:val="665184"/>
          <w:sz w:val="26"/>
        </w:rPr>
        <w:t>遇到问题时，可以先试这些办法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DD7E6"/>
          <w:left w:val="single" w:sz="4" w:color="DDD7E6"/>
          <w:bottom w:val="single" w:sz="4" w:color="DDD7E6"/>
          <w:right w:val="single" w:sz="4" w:color="DDD7E6"/>
          <w:insideH w:val="single" w:sz="4" w:color="DDD7E6"/>
          <w:insideV w:val="single" w:sz="4" w:color="DDD7E6"/>
        </w:tblBorders>
      </w:tblPr>
      <w:tblGrid>
        <w:gridCol w:w="3231"/>
        <w:gridCol w:w="6561"/>
      </w:tblGrid>
      <w:tr>
        <w:trPr>
          <w:cantSplit/>
        </w:trPr>
        <w:tc>
          <w:tcPr>
            <w:tcW w:type="dxa" w:w="323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6561"/>
            <w:shd w:fill="66518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FFFFFF"/>
                <w:sz w:val="17"/>
              </w:rPr>
              <w:t>先尝试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双击后没有反应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确认 ZIP 已解压，从解压后的文件夹启动对应语言和系统的文件。macOS 可按住 Control 点击启动文件并选择“打开”。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浏览器没有自动打开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稍等并查看系统提示。关闭后重新启动；仍不行时，把屏幕提示截图发给维护者。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模型列表拉取失败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检查网络、服务平台状态和 API Key 是否复制完整，再重新拉取。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PDF 无法读取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文件可能是扫描图片或受保护文件。尝试可搜索 PDF，或复制文字粘贴。</w:t>
            </w:r>
          </w:p>
        </w:tc>
      </w:tr>
      <w:tr>
        <w:trPr>
          <w:cantSplit/>
        </w:trPr>
        <w:tc>
          <w:tcPr>
            <w:tcW w:type="dxa" w:w="323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文献分析或章节生成失败</w:t>
            </w:r>
          </w:p>
        </w:tc>
        <w:tc>
          <w:tcPr>
            <w:tcW w:type="dxa" w:w="6561"/>
            <w:shd w:fill="FFFFFF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先保存已有正文，检查服务平台、密钥和模型后重试；不要把错误提示复制成论文正文。</w:t>
            </w:r>
          </w:p>
        </w:tc>
      </w:tr>
      <w:tr>
        <w:trPr>
          <w:cantSplit/>
        </w:trPr>
        <w:tc>
          <w:tcPr>
            <w:tcW w:type="dxa" w:w="323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/>
                <w:color w:val="34323A"/>
                <w:sz w:val="17"/>
              </w:rPr>
              <w:t>Word 导出失败或排版异常</w:t>
            </w:r>
          </w:p>
        </w:tc>
        <w:tc>
          <w:tcPr>
            <w:tcW w:type="dxa" w:w="6561"/>
            <w:shd w:fill="F7F5F9"/>
            <w:tcMar>
              <w:top w:w="76" w:type="dxa"/>
              <w:start w:w="90" w:type="dxa"/>
              <w:bottom w:w="76" w:type="dxa"/>
              <w:end w:w="90" w:type="dxa"/>
            </w:tcMar>
            <w:vAlign w:val="center"/>
          </w:tcPr>
          <w:p>
            <w:pPr>
              <w:spacing w:after="0" w:line="250" w:lineRule="auto"/>
            </w:pPr>
            <w:r>
              <w:rPr>
                <w:rFonts w:ascii="STHeiti" w:hAnsi="STHeiti" w:eastAsia="STHeiti"/>
                <w:b w:val="0"/>
                <w:color w:val="34323A"/>
                <w:sz w:val="17"/>
              </w:rPr>
              <w:t>确认大纲和草稿已保存，换用内置预设再试。保留原文件，并把错误截图发给维护者。</w:t>
            </w:r>
          </w:p>
        </w:tc>
      </w:tr>
    </w:tbl>
    <w:p>
      <w:pPr>
        <w:spacing w:line="274" w:lineRule="auto" w:after="40"/>
      </w:pP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资料与隐私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项目数据保存在本机；发起模型请求时，本次提示、选择使用的资料和 API Key 会发送到你配置的 AI 服务平台。请查看服务商隐私和留存政策，不要分享密钥或上传无权处理的资料。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本项目基于 MIT License 开源。微光辅助整理和起草，不替代研究判断、来源核验和终稿责任。</w:t>
      </w:r>
    </w:p>
    <w:p>
      <w:r>
        <w:br w:type="page"/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STHeiti" w:hAnsi="STHeiti" w:eastAsia="STHeiti"/>
          <w:b w:val="0"/>
          <w:color w:val="716D79"/>
          <w:sz w:val="18"/>
        </w:rPr>
        <w:t>Lumielle海报</w:t>
      </w:r>
    </w:p>
    <w:p>
      <w:r>
        <w:br w:type="page"/>
      </w:r>
    </w:p>
    <w:p>
      <w:pPr>
        <w:pStyle w:val="Heading1"/>
        <w:keepNext/>
      </w:pPr>
      <w:r>
        <w:rPr>
          <w:rFonts w:ascii="STHeiti" w:hAnsi="STHeiti" w:eastAsia="STHeiti"/>
          <w:b/>
          <w:color w:val="4E3D68"/>
          <w:sz w:val="38"/>
        </w:rPr>
        <w:t>附录 A：版本历史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当前开发版本：v1.1.0 — Unreleased。该版本仍在开发中，尚未作为正式发布版。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v1.1.0 — Unreleased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新增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科研资料可按主题整理；系统可从可读取的完整资料中按顺序提取要点，并提供可修改的智能归档建议。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文献支持 PDF、Word、TXT 和粘贴文字全文分析，整理研究问题、方法、结果、限制及与原文关联的依据。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新增可复用的 Word 排版预设、自定义预设和预览确认流程。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变更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规划时可以综合不同分区已保存的研究信息；章节写作只选取允许使用的相关事实和本章已绑定文献。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章节记忆从完整章节正文生成精简摘要，并与大纲和上下游章节信息一起供后续写作使用。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文献相关性与来源质量分别评估；General Academic 与 Legacy Compatible 提供不同版式。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中英文手册改为面向初次使用者的步骤式说明，增加快速开始、常见问题和排错路径，并保留原版式海报。</w:t>
      </w:r>
    </w:p>
    <w:p>
      <w:pPr>
        <w:pStyle w:val="Heading3"/>
        <w:keepNext/>
      </w:pPr>
      <w:r>
        <w:rPr>
          <w:rFonts w:ascii="STHeiti" w:hAnsi="STHeiti" w:eastAsia="STHeiti"/>
          <w:b/>
          <w:color w:val="34323A"/>
          <w:sz w:val="22"/>
        </w:rPr>
        <w:t>修复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重建章节记忆失败时保留此前有效记忆；清空文献记录与删除文献原件由两个明确选择控制。</w:t>
      </w:r>
    </w:p>
    <w:p>
      <w:pPr>
        <w:spacing w:after="60" w:line="269" w:lineRule="auto"/>
        <w:ind w:left="288" w:hanging="202"/>
      </w:pPr>
      <w:r>
        <w:rPr>
          <w:rFonts w:ascii="STHeiti" w:hAnsi="STHeiti" w:eastAsia="STHeiti"/>
          <w:b/>
          <w:color w:val="665184"/>
          <w:sz w:val="19"/>
        </w:rPr>
        <w:t xml:space="preserve">• </w:t>
      </w:r>
      <w:r>
        <w:rPr>
          <w:rFonts w:ascii="STHeiti" w:hAnsi="STHeiti" w:eastAsia="STHeiti"/>
          <w:b w:val="0"/>
          <w:color w:val="34323A"/>
          <w:sz w:val="19"/>
        </w:rPr>
        <w:t>恢复手册连续分页排版并保留 Lumielle 海报原图。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v1.0.1 — 2026-09-27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修复章节上下文、风格要求、英文单词统计和文献引用编号等问题；增加安全图表生成、完整资料顺序解析、稳定的 Word 导出和更清晰的失败提示。</w:t>
      </w:r>
    </w:p>
    <w:p>
      <w:pPr>
        <w:pStyle w:val="Heading2"/>
        <w:keepNext/>
      </w:pPr>
      <w:r>
        <w:rPr>
          <w:rFonts w:ascii="STHeiti" w:hAnsi="STHeiti" w:eastAsia="STHeiti"/>
          <w:b/>
          <w:color w:val="665184"/>
          <w:sz w:val="26"/>
        </w:rPr>
        <w:t>v1.0.0 — 2026-08-26</w:t>
      </w:r>
    </w:p>
    <w:p>
      <w:pPr>
        <w:spacing w:after="80" w:line="274" w:lineRule="auto"/>
      </w:pPr>
      <w:r>
        <w:rPr>
          <w:rFonts w:ascii="STHeiti" w:hAnsi="STHeiti" w:eastAsia="STHeiti"/>
          <w:b w:val="0"/>
          <w:color w:val="34323A"/>
          <w:sz w:val="20"/>
        </w:rPr>
        <w:t>首次公开发布，提供 macOS 和 Windows 中英文版本。</w:t>
      </w:r>
    </w:p>
    <w:sectPr w:rsidR="00FC693F" w:rsidRPr="0006063C" w:rsidSect="00034616">
      <w:footerReference w:type="default" r:id="rId9"/>
      <w:headerReference w:type="default" r:id="rId11"/>
      <w:pgSz w:w="11909" w:h="16834"/>
      <w:pgMar w:top="907" w:right="1037" w:bottom="893" w:left="1037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STHeiti" w:hAnsi="STHeiti" w:eastAsia="STHeiti"/>
        <w:b w:val="0"/>
        <w:color w:val="716D79"/>
        <w:sz w:val="16"/>
      </w:rPr>
      <w:t xml:space="preserve">v1.1.0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jc w:val="right"/>
    </w:pPr>
    <w:r>
      <w:rPr>
        <w:rFonts w:ascii="STHeiti" w:hAnsi="STHeiti" w:eastAsia="STHeiti"/>
        <w:b w:val="0"/>
        <w:color w:val="716D79"/>
        <w:sz w:val="16"/>
      </w:rPr>
      <w:t>微光 · 学术论文助手  /  用户手册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line="274" w:lineRule="auto"/>
    </w:pPr>
    <w:rPr>
      <w:rFonts w:ascii="STHeiti" w:hAnsi="STHeiti" w:eastAsia="STHeiti"/>
      <w:color w:val="34323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00"/>
      <w:outlineLvl w:val="0"/>
    </w:pPr>
    <w:rPr>
      <w:rFonts w:asciiTheme="majorHAnsi" w:eastAsiaTheme="majorEastAsia" w:hAnsiTheme="majorHAnsi" w:cstheme="majorBidi" w:ascii="STHeiti" w:hAnsi="STHeiti" w:eastAsia="STHeiti"/>
      <w:b/>
      <w:bCs/>
      <w:color w:val="4E3D6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160" w:after="60"/>
      <w:outlineLvl w:val="1"/>
    </w:pPr>
    <w:rPr>
      <w:rFonts w:asciiTheme="majorHAnsi" w:eastAsiaTheme="majorEastAsia" w:hAnsiTheme="majorHAnsi" w:cstheme="majorBidi" w:ascii="STHeiti" w:hAnsi="STHeiti" w:eastAsia="STHeiti"/>
      <w:b/>
      <w:bCs/>
      <w:color w:val="66518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100" w:after="40"/>
      <w:outlineLvl w:val="2"/>
    </w:pPr>
    <w:rPr>
      <w:rFonts w:asciiTheme="majorHAnsi" w:eastAsiaTheme="majorEastAsia" w:hAnsiTheme="majorHAnsi" w:cstheme="majorBidi" w:ascii="STHeiti" w:hAnsi="STHeiti" w:eastAsia="STHeiti"/>
      <w:b/>
      <w:bCs/>
      <w:color w:val="34323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  <w:jc w:val="center"/>
    </w:pPr>
    <w:rPr>
      <w:rFonts w:asciiTheme="majorHAnsi" w:eastAsiaTheme="majorEastAsia" w:hAnsiTheme="majorHAnsi" w:cstheme="majorBidi" w:ascii="STHeiti" w:hAnsi="STHeiti" w:eastAsia="STHeiti"/>
      <w:b/>
      <w:color w:val="4E3D68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60" w:before="0"/>
      <w:jc w:val="center"/>
    </w:pPr>
    <w:rPr>
      <w:rFonts w:asciiTheme="majorHAnsi" w:eastAsiaTheme="majorEastAsia" w:hAnsiTheme="majorHAnsi" w:cstheme="majorBidi" w:ascii="STHeiti" w:hAnsi="STHeiti" w:eastAsia="STHeiti"/>
      <w:b w:val="0"/>
      <w:i/>
      <w:iCs/>
      <w:color w:val="716D7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微光学术论文写作助手 使用手册</dc:title>
  <dc:subject>微光学术论文写作助手 v1.1.0 中文用户手册</dc:subject>
  <dc:creator>Lumielle Academic Assistant</dc:creator>
  <cp:keywords>Lumielle, academic writing, user guide, v1.1.0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