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01828"/>
                <w:sz w:val="34"/>
              </w:rPr>
              <w:t>GADDAM SASIKALA</w:t>
              <w:br/>
            </w:r>
            <w:r>
              <w:rPr>
                <w:rFonts w:ascii="Calibri" w:hAnsi="Calibri"/>
                <w:b/>
                <w:color w:val="A12C48"/>
                <w:sz w:val="21"/>
              </w:rPr>
              <w:t>AI Engineer  |  Agentic Systems &amp; RAG  |  Automation  |  UI/UX</w:t>
              <w:br/>
            </w:r>
            <w:r>
              <w:rPr>
                <w:rFonts w:ascii="Calibri" w:hAnsi="Calibri"/>
                <w:color w:val="64748B"/>
                <w:sz w:val="19"/>
              </w:rPr>
              <w:t>West Godavari, India   •   +91 8247538393   •   sasikala.gaddam24@sasi.ac.in</w:t>
              <w:br/>
            </w:r>
            <w:r>
              <w:rPr>
                <w:rFonts w:ascii="Calibri" w:hAnsi="Calibri"/>
                <w:color w:val="0284C7"/>
                <w:sz w:val="19"/>
              </w:rPr>
              <w:t>linkedin.com/in/gaddam-sasikala-bb1b13326   •   github.com/LuminaQuest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A12C48"/>
          <w:sz w:val="22"/>
        </w:rPr>
        <w:t>PROFILE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B.Tech Computer Science student who builds production-style AI systems — multi-agent assistants, RAG pipelines, and automation workflows — with the guardrails, evaluation, and deployment that businesses actually need. National Finalist in the OpenAI Academy × NxtWave GenAI Buildathon. Combines AI engineering with a UI/UX background, delivering intelligent, reliable, and production-ready applications. Open to paid project work, internships, and remote AI engineering roles.</w:t>
      </w:r>
    </w:p>
    <w:p>
      <w:pPr>
        <w:spacing w:before="160" w:after="40"/>
      </w:pPr>
      <w:r>
        <w:rPr>
          <w:rFonts w:ascii="Calibri" w:hAnsi="Calibri"/>
          <w:b/>
          <w:color w:val="A12C48"/>
          <w:sz w:val="22"/>
        </w:rPr>
        <w:t>FEATURED PROJECTS</w:t>
      </w:r>
    </w:p>
    <w:p>
      <w:pPr>
        <w:spacing w:before="60" w:after="20"/>
      </w:pPr>
      <w:r>
        <w:rPr>
          <w:rFonts w:ascii="Calibri" w:hAnsi="Calibri"/>
          <w:b/>
          <w:color w:val="101828"/>
          <w:sz w:val="20"/>
        </w:rPr>
        <w:t>Digital Krishi Officer — Multilingual GenAI Agricultural Assistant</w:t>
      </w:r>
      <w:r>
        <w:rPr>
          <w:rFonts w:ascii="Calibri" w:hAnsi="Calibri"/>
          <w:b/>
          <w:color w:val="A12C48"/>
          <w:sz w:val="18"/>
        </w:rPr>
        <w:t xml:space="preserve">  |  National Finalist: OpenAI Academy × NxtWave GenAI Buildathon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Architected an AI-powered multilingual assistant empowering Indian farmers with real-time crop disease diagnosis, dynamic weather forecasting, and government agricultural scheme navigation in vernacular languages and local slang.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Engineered vernacular voice-to-text and localized LLM reasoning pipelines; secured State Finalist and selected for the National Finale in India's biggest GenAI buildathon.</w:t>
      </w:r>
    </w:p>
    <w:p>
      <w:pPr>
        <w:spacing w:before="60" w:after="20"/>
      </w:pPr>
      <w:r>
        <w:rPr>
          <w:rFonts w:ascii="Calibri" w:hAnsi="Calibri"/>
          <w:b/>
          <w:color w:val="101828"/>
          <w:sz w:val="20"/>
        </w:rPr>
        <w:t>AURA // NEXUS — Autonomous Spatial Agentic OS &amp; Automation Fabric</w:t>
      </w:r>
      <w:r>
        <w:rPr>
          <w:rFonts w:ascii="Calibri" w:hAnsi="Calibri"/>
          <w:color w:val="0284C7"/>
          <w:sz w:val="18"/>
        </w:rPr>
        <w:t xml:space="preserve">  |  github.com/LuminaQuest/aura-nexus  |  Live: luminaquest.github.io/aura-nexus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Engineered an autonomous multi-agent operating system unifying LangGraph supervisors, Tree-of-Thought speculative reasoning, and an interactive 3D WebGL synapse canvas with real-time telemetry dials.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Built an enterprise automation fabric integrating bi-directional n8n webhooks, Zapier REST event dispatchers, Model Context Protocol (MCP) tool execution, and dynamic model routing (Gemini Pro/Flash, reducing token costs by 68%).</w:t>
      </w:r>
    </w:p>
    <w:p>
      <w:pPr>
        <w:spacing w:before="60" w:after="20"/>
      </w:pPr>
      <w:r>
        <w:rPr>
          <w:rFonts w:ascii="Calibri" w:hAnsi="Calibri"/>
          <w:b/>
          <w:color w:val="101828"/>
          <w:sz w:val="20"/>
        </w:rPr>
        <w:t>Multi-Agent RAG Assistant with Evals &amp; Guardrails</w:t>
      </w:r>
      <w:r>
        <w:rPr>
          <w:rFonts w:ascii="Calibri" w:hAnsi="Calibri"/>
          <w:color w:val="0284C7"/>
          <w:sz w:val="18"/>
        </w:rPr>
        <w:t xml:space="preserve">  |  github.com/LuminaQuest/multi-agent-rag-assistant  |  Live: onrender.com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Designed a LangGraph supervisor system routing tasks to specialized agents with explicit control loops, retry logic, and iteration caps; built ChromaDB RAG pipeline with cross-encoder reranked retrieval and session memory.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Integrated multi-provider model routing, input/output guardrails, human-in-the-loop approvals, and offline eval suites; containerized with Docker and deployed via FastAPI.</w:t>
      </w:r>
    </w:p>
    <w:p>
      <w:pPr>
        <w:spacing w:before="60" w:after="20"/>
      </w:pPr>
      <w:r>
        <w:rPr>
          <w:rFonts w:ascii="Calibri" w:hAnsi="Calibri"/>
          <w:b/>
          <w:color w:val="101828"/>
          <w:sz w:val="20"/>
        </w:rPr>
        <w:t>SMS-Guard: Multilingual Indic Regional Phishing Detection AI</w:t>
      </w:r>
      <w:r>
        <w:rPr>
          <w:rFonts w:ascii="Calibri" w:hAnsi="Calibri"/>
          <w:color w:val="0284C7"/>
          <w:sz w:val="18"/>
        </w:rPr>
        <w:t xml:space="preserve">  |  github.com/LuminaQuest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Developed a real-time cybersecurity NLP model detecting financial phishing and smishing attacks across Indic languages (Telugu, Hindi, Tamil) with sub-50ms inference, handling code-mixed vernacular text.</w:t>
      </w:r>
    </w:p>
    <w:p>
      <w:pPr>
        <w:spacing w:before="160" w:after="40"/>
      </w:pPr>
      <w:r>
        <w:rPr>
          <w:rFonts w:ascii="Calibri" w:hAnsi="Calibri"/>
          <w:b/>
          <w:color w:val="A12C48"/>
          <w:sz w:val="22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101828"/>
                <w:sz w:val="18"/>
              </w:rPr>
              <w:t>Generative AI &amp; LLMs</w:t>
            </w:r>
          </w:p>
        </w:tc>
        <w:tc>
          <w:tcPr>
            <w:tcW w:type="dxa" w:w="7776"/>
          </w:tcPr>
          <w:p>
            <w:pPr>
              <w:spacing w:after="30"/>
            </w:pPr>
            <w:r>
              <w:rPr>
                <w:rFonts w:ascii="Calibri" w:hAnsi="Calibri"/>
                <w:sz w:val="18"/>
              </w:rPr>
              <w:t>Prompt engineering, multi-provider model routing, LLM evaluation, structured outputs, OpenAI APIs</w:t>
            </w:r>
          </w:p>
        </w:tc>
      </w:tr>
      <w:tr>
        <w:tc>
          <w:tcPr>
            <w:tcW w:type="dxa" w:w="2592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101828"/>
                <w:sz w:val="18"/>
              </w:rPr>
              <w:t>Agentic AI</w:t>
            </w:r>
          </w:p>
        </w:tc>
        <w:tc>
          <w:tcPr>
            <w:tcW w:type="dxa" w:w="7776"/>
          </w:tcPr>
          <w:p>
            <w:pPr>
              <w:spacing w:after="30"/>
            </w:pPr>
            <w:r>
              <w:rPr>
                <w:rFonts w:ascii="Calibri" w:hAnsi="Calibri"/>
                <w:sz w:val="18"/>
              </w:rPr>
              <w:t>LangGraph, LangChain, supervisor/worker multi-agent design, Tree-of-Thought (ToT), control loops, human-in-the-loop</w:t>
            </w:r>
          </w:p>
        </w:tc>
      </w:tr>
      <w:tr>
        <w:tc>
          <w:tcPr>
            <w:tcW w:type="dxa" w:w="2592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101828"/>
                <w:sz w:val="18"/>
              </w:rPr>
              <w:t>RAG &amp; Vector Search</w:t>
            </w:r>
          </w:p>
        </w:tc>
        <w:tc>
          <w:tcPr>
            <w:tcW w:type="dxa" w:w="7776"/>
          </w:tcPr>
          <w:p>
            <w:pPr>
              <w:spacing w:after="30"/>
            </w:pPr>
            <w:r>
              <w:rPr>
                <w:rFonts w:ascii="Calibri" w:hAnsi="Calibri"/>
                <w:sz w:val="18"/>
              </w:rPr>
              <w:t>Chunking, embeddings, ChromaDB, dense + BM25 hybrid search, cross-encoder reranking, grounded retrieval</w:t>
            </w:r>
          </w:p>
        </w:tc>
      </w:tr>
      <w:tr>
        <w:tc>
          <w:tcPr>
            <w:tcW w:type="dxa" w:w="2592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101828"/>
                <w:sz w:val="18"/>
              </w:rPr>
              <w:t>Enterprise Automation</w:t>
            </w:r>
          </w:p>
        </w:tc>
        <w:tc>
          <w:tcPr>
            <w:tcW w:type="dxa" w:w="7776"/>
          </w:tcPr>
          <w:p>
            <w:pPr>
              <w:spacing w:after="30"/>
            </w:pPr>
            <w:r>
              <w:rPr>
                <w:rFonts w:ascii="Calibri" w:hAnsi="Calibri"/>
                <w:sz w:val="18"/>
              </w:rPr>
              <w:t>n8n workflow automation, bi-directional webhooks, Zapier REST integration, Model Context Protocol (MCP)</w:t>
            </w:r>
          </w:p>
        </w:tc>
      </w:tr>
      <w:tr>
        <w:tc>
          <w:tcPr>
            <w:tcW w:type="dxa" w:w="2592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101828"/>
                <w:sz w:val="18"/>
              </w:rPr>
              <w:t>Safety &amp; Engineering</w:t>
            </w:r>
          </w:p>
        </w:tc>
        <w:tc>
          <w:tcPr>
            <w:tcW w:type="dxa" w:w="7776"/>
          </w:tcPr>
          <w:p>
            <w:pPr>
              <w:spacing w:after="30"/>
            </w:pPr>
            <w:r>
              <w:rPr>
                <w:rFonts w:ascii="Calibri" w:hAnsi="Calibri"/>
                <w:sz w:val="18"/>
              </w:rPr>
              <w:t>Input/output guardrails, offline evaluation suites, Python, FastAPI, Docker, Git/GitHub, structured logging</w:t>
            </w:r>
          </w:p>
        </w:tc>
      </w:tr>
      <w:tr>
        <w:tc>
          <w:tcPr>
            <w:tcW w:type="dxa" w:w="2592"/>
          </w:tcPr>
          <w:p>
            <w:pPr>
              <w:spacing w:after="30"/>
            </w:pPr>
            <w:r>
              <w:rPr>
                <w:rFonts w:ascii="Calibri" w:hAnsi="Calibri"/>
                <w:b/>
                <w:color w:val="101828"/>
                <w:sz w:val="18"/>
              </w:rPr>
              <w:t>Design &amp; Front-End</w:t>
            </w:r>
          </w:p>
        </w:tc>
        <w:tc>
          <w:tcPr>
            <w:tcW w:type="dxa" w:w="7776"/>
          </w:tcPr>
          <w:p>
            <w:pPr>
              <w:spacing w:after="30"/>
            </w:pPr>
            <w:r>
              <w:rPr>
                <w:rFonts w:ascii="Calibri" w:hAnsi="Calibri"/>
                <w:sz w:val="18"/>
              </w:rPr>
              <w:t>UI/UX design, Figma, responsive web interfaces, Three.js / WebGL spatial 3D interfaces, HTML5, CSS3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A12C48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19"/>
        </w:rPr>
        <w:t>B.Tech, Computer Science — Sasi Institute of Technology and Engineering</w:t>
      </w:r>
      <w:r>
        <w:rPr>
          <w:rFonts w:ascii="Calibri" w:hAnsi="Calibri"/>
          <w:color w:val="64748B"/>
          <w:sz w:val="19"/>
        </w:rPr>
        <w:tab/>
        <w:t>2024 – 2028</w:t>
      </w:r>
    </w:p>
    <w:p>
      <w:pPr>
        <w:spacing w:after="60"/>
      </w:pPr>
      <w:r>
        <w:rPr>
          <w:rFonts w:ascii="Calibri" w:hAnsi="Calibri"/>
          <w:sz w:val="19"/>
        </w:rPr>
        <w:t>Intermediate (MPC) — Sri Chaitanya Junior College  |  CGPA 8.3</w:t>
      </w:r>
      <w:r>
        <w:rPr>
          <w:rFonts w:ascii="Calibri" w:hAnsi="Calibri"/>
          <w:color w:val="64748B"/>
          <w:sz w:val="19"/>
        </w:rPr>
        <w:tab/>
        <w:t>2022 – 2024</w:t>
      </w:r>
    </w:p>
    <w:p>
      <w:pPr>
        <w:spacing w:before="160" w:after="40"/>
      </w:pPr>
      <w:r>
        <w:rPr>
          <w:rFonts w:ascii="Calibri" w:hAnsi="Calibri"/>
          <w:b/>
          <w:color w:val="A12C48"/>
          <w:sz w:val="22"/>
        </w:rPr>
        <w:t>HONORS &amp; CERTIFICATIONS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National Finalist — OpenAI Academy × NxtWave GENAI Buildathon (India's Biggest GenAI Buildathon) for Digital Krishi Officer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Build Your Own Responsive Website (ID: MWILVCMRQ) &amp; Build Your Own Static Website (ID: YNZEGFBUKM) — NxtWave CCBP 4.0</w:t>
      </w:r>
    </w:p>
    <w:p>
      <w:pPr>
        <w:spacing w:before="0" w:after="30" w:line="276" w:lineRule="auto"/>
        <w:ind w:left="288"/>
      </w:pPr>
      <w:r>
        <w:rPr>
          <w:rFonts w:ascii="Calibri" w:hAnsi="Calibri"/>
          <w:b/>
          <w:sz w:val="19"/>
        </w:rPr>
        <w:t xml:space="preserve">• </w:t>
      </w:r>
      <w:r>
        <w:rPr>
          <w:rFonts w:ascii="Calibri" w:hAnsi="Calibri"/>
          <w:sz w:val="19"/>
        </w:rPr>
        <w:t>Intern, CodeAlpha — Completed web and software development internship</w:t>
      </w:r>
    </w:p>
    <w:p>
      <w:pPr>
        <w:spacing w:before="40"/>
      </w:pPr>
      <w:r>
        <w:rPr>
          <w:rFonts w:ascii="Calibri" w:hAnsi="Calibri"/>
          <w:color w:val="64748B"/>
          <w:sz w:val="18"/>
        </w:rPr>
        <w:t>Languages: Telugu (Native)  •  English (Proficient)  •  Italian (Beginner)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