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f4e"/>
          <w:sz w:val="52"/>
          <w:szCs w:val="52"/>
        </w:rPr>
        <w:t xml:space="preserve">Municipal AI Gateway</w:t>
      </w:r>
    </w:p>
    <w:p>
      <w:pPr>
        <w:spacing w:after="80" w:before="0"/>
      </w:pPr>
      <w:r>
        <w:rPr>
          <w:rFonts w:ascii="Arial" w:cs="Arial" w:eastAsia="Arial" w:hAnsi="Arial"/>
          <w:color w:val="c9a84c"/>
          <w:sz w:val="32"/>
          <w:szCs w:val="32"/>
        </w:rPr>
        <w:t xml:space="preserve">IT Implementation Guide</w:t>
      </w:r>
    </w:p>
    <w:p>
      <w:pPr>
        <w:spacing w:after="40" w:before="0"/>
      </w:pPr>
      <w:r>
        <w:rPr>
          <w:rFonts w:ascii="Arial" w:cs="Arial" w:eastAsia="Arial" w:hAnsi="Arial"/>
          <w:color w:val="666666"/>
          <w:sz w:val="22"/>
          <w:szCs w:val="22"/>
        </w:rPr>
        <w:t xml:space="preserve">Open-Source Canadian Municipal AI Governance Infrastructure</w:t>
      </w:r>
    </w:p>
    <w:p>
      <w:pPr>
        <w:pBdr>
          <w:bottom w:val="single" w:color="1a2f4e" w:sz="8" w:space="8"/>
        </w:pBdr>
        <w:spacing w:after="4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What This Is</w:t>
      </w:r>
    </w:p>
    <w:p>
      <w:pPr>
        <w:spacing w:after="120" w:before="80"/>
      </w:pPr>
      <w:r>
        <w:rPr>
          <w:rFonts w:ascii="Arial" w:cs="Arial" w:eastAsia="Arial" w:hAnsi="Arial"/>
          <w:color w:val="2d2d2d"/>
          <w:sz w:val="22"/>
          <w:szCs w:val="22"/>
        </w:rPr>
        <w:t xml:space="preserve">The Municipal AI Gateway is a free, open-source proxy server that sits between your organization's network and external AI providers. Every AI request from every staff member flows through it before reaching ChatGPT, Copilot, Claude, Gemini, or any other provider.</w:t>
      </w:r>
    </w:p>
    <w:p>
      <w:pPr>
        <w:spacing w:after="120" w:before="0"/>
      </w:pPr>
      <w:r>
        <w:t xml:space="preserve"/>
      </w:r>
    </w:p>
    <w:p>
      <w:pPr>
        <w:spacing w:after="120" w:before="80"/>
      </w:pPr>
      <w:r>
        <w:rPr>
          <w:rFonts w:ascii="Arial" w:cs="Arial" w:eastAsia="Arial" w:hAnsi="Arial"/>
          <w:color w:val="2d2d2d"/>
          <w:sz w:val="22"/>
          <w:szCs w:val="22"/>
        </w:rPr>
        <w:t xml:space="preserve">It does three things:</w:t>
      </w:r>
    </w:p>
    <w:p>
      <w:pPr>
        <w:pStyle w:val="ListParagraph"/>
        <w:numPr>
          <w:ilvl w:val="0"/>
          <w:numId w:val="2"/>
        </w:numPr>
        <w:spacing w:after="60" w:before="60"/>
      </w:pPr>
      <w:r>
        <w:rPr>
          <w:rFonts w:ascii="Arial" w:cs="Arial" w:eastAsia="Arial" w:hAnsi="Arial"/>
          <w:color w:val="2d2d2d"/>
          <w:sz w:val="22"/>
          <w:szCs w:val="22"/>
        </w:rPr>
        <w:t xml:space="preserve">Strips Canadian personal information from requests before they leave your network</w:t>
      </w:r>
    </w:p>
    <w:p>
      <w:pPr>
        <w:pStyle w:val="ListParagraph"/>
        <w:numPr>
          <w:ilvl w:val="0"/>
          <w:numId w:val="2"/>
        </w:numPr>
        <w:spacing w:after="60" w:before="60"/>
      </w:pPr>
      <w:r>
        <w:rPr>
          <w:rFonts w:ascii="Arial" w:cs="Arial" w:eastAsia="Arial" w:hAnsi="Arial"/>
          <w:color w:val="2d2d2d"/>
          <w:sz w:val="22"/>
          <w:szCs w:val="22"/>
        </w:rPr>
        <w:t xml:space="preserve">Logs every AI interaction to a tamper-evident audit trail</w:t>
      </w:r>
    </w:p>
    <w:p>
      <w:pPr>
        <w:pStyle w:val="ListParagraph"/>
        <w:numPr>
          <w:ilvl w:val="0"/>
          <w:numId w:val="2"/>
        </w:numPr>
        <w:spacing w:after="60" w:before="60"/>
      </w:pPr>
      <w:r>
        <w:rPr>
          <w:rFonts w:ascii="Arial" w:cs="Arial" w:eastAsia="Arial" w:hAnsi="Arial"/>
          <w:color w:val="2d2d2d"/>
          <w:sz w:val="22"/>
          <w:szCs w:val="22"/>
        </w:rPr>
        <w:t xml:space="preserve">Gives administrators a real-time dashboard showing all AI activity by department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r>
              <w:rPr>
                <w:rFonts w:ascii="Arial" w:cs="Arial" w:eastAsia="Arial" w:hAnsi="Arial"/>
                <w:i/>
                <w:iCs/>
                <w:color w:val="2d2d2d"/>
                <w:sz w:val="22"/>
                <w:szCs w:val="22"/>
              </w:rPr>
              <w:t xml:space="preserve">Staff can continue using any AI tool they choose. The gateway makes that usage safe and auditable without blocking anyone or changing their workflow.</w:t>
            </w:r>
          </w:p>
        </w:tc>
      </w:tr>
    </w:tbl>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The Problem You Are Solving</w:t>
      </w:r>
    </w:p>
    <w:p>
      <w:pPr>
        <w:spacing w:after="120" w:before="80"/>
      </w:pPr>
      <w:r>
        <w:rPr>
          <w:rFonts w:ascii="Arial" w:cs="Arial" w:eastAsia="Arial" w:hAnsi="Arial"/>
          <w:color w:val="2d2d2d"/>
          <w:sz w:val="22"/>
          <w:szCs w:val="22"/>
        </w:rPr>
        <w:t xml:space="preserve">Staff across your organization are already using AI tools. A 2025 KPMG Canada survey found that nearly half of Canadian public servants reported using AI tools at work, while fewer than a quarter of their organizations had formally adopted AI.</w:t>
      </w:r>
    </w:p>
    <w:p>
      <w:pPr>
        <w:spacing w:after="120" w:before="0"/>
      </w:pPr>
      <w:r>
        <w:t xml:space="preserve"/>
      </w:r>
    </w:p>
    <w:p>
      <w:pPr>
        <w:spacing w:after="120" w:before="80"/>
      </w:pPr>
      <w:r>
        <w:rPr>
          <w:rFonts w:ascii="Arial" w:cs="Arial" w:eastAsia="Arial" w:hAnsi="Arial"/>
          <w:color w:val="2d2d2d"/>
          <w:sz w:val="22"/>
          <w:szCs w:val="22"/>
        </w:rPr>
        <w:t xml:space="preserve">Without a gateway:</w:t>
      </w:r>
    </w:p>
    <w:p>
      <w:pPr>
        <w:pStyle w:val="ListParagraph"/>
        <w:numPr>
          <w:ilvl w:val="0"/>
          <w:numId w:val="2"/>
        </w:numPr>
        <w:spacing w:after="60" w:before="60"/>
      </w:pPr>
      <w:r>
        <w:rPr>
          <w:rFonts w:ascii="Arial" w:cs="Arial" w:eastAsia="Arial" w:hAnsi="Arial"/>
          <w:color w:val="2d2d2d"/>
          <w:sz w:val="22"/>
          <w:szCs w:val="22"/>
        </w:rPr>
        <w:t xml:space="preserve">You have no visibility into what data staff are sending to US-based AI servers</w:t>
      </w:r>
    </w:p>
    <w:p>
      <w:pPr>
        <w:pStyle w:val="ListParagraph"/>
        <w:numPr>
          <w:ilvl w:val="0"/>
          <w:numId w:val="2"/>
        </w:numPr>
        <w:spacing w:after="60" w:before="60"/>
      </w:pPr>
      <w:r>
        <w:rPr>
          <w:rFonts w:ascii="Arial" w:cs="Arial" w:eastAsia="Arial" w:hAnsi="Arial"/>
          <w:color w:val="2d2d2d"/>
          <w:sz w:val="22"/>
          <w:szCs w:val="22"/>
        </w:rPr>
        <w:t xml:space="preserve">Resident SIN numbers, health card numbers, property PIDs, and addresses may be leaving your network</w:t>
      </w:r>
    </w:p>
    <w:p>
      <w:pPr>
        <w:pStyle w:val="ListParagraph"/>
        <w:numPr>
          <w:ilvl w:val="0"/>
          <w:numId w:val="2"/>
        </w:numPr>
        <w:spacing w:after="60" w:before="60"/>
      </w:pPr>
      <w:r>
        <w:rPr>
          <w:rFonts w:ascii="Arial" w:cs="Arial" w:eastAsia="Arial" w:hAnsi="Arial"/>
          <w:color w:val="2d2d2d"/>
          <w:sz w:val="22"/>
          <w:szCs w:val="22"/>
        </w:rPr>
        <w:t xml:space="preserve">You have no audit trail if a privacy complaint is filed</w:t>
      </w:r>
    </w:p>
    <w:p>
      <w:pPr>
        <w:pStyle w:val="ListParagraph"/>
        <w:numPr>
          <w:ilvl w:val="0"/>
          <w:numId w:val="2"/>
        </w:numPr>
        <w:spacing w:after="60" w:before="60"/>
      </w:pPr>
      <w:r>
        <w:rPr>
          <w:rFonts w:ascii="Arial" w:cs="Arial" w:eastAsia="Arial" w:hAnsi="Arial"/>
          <w:color w:val="2d2d2d"/>
          <w:sz w:val="22"/>
          <w:szCs w:val="22"/>
        </w:rPr>
        <w:t xml:space="preserve">Your CAO cannot answer a privacy commissioner's questions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r>
              <w:rPr>
                <w:rFonts w:ascii="Arial" w:cs="Arial" w:eastAsia="Arial" w:hAnsi="Arial"/>
                <w:i/>
                <w:iCs/>
                <w:color w:val="2d2d2d"/>
                <w:sz w:val="22"/>
                <w:szCs w:val="22"/>
              </w:rPr>
              <w:t xml:space="preserve">Blocking AI tools does not solve this. Staff use personal phones and personal accounts. You lose all visibility and productivity suffers. The gateway is a third option: govern rather than block.</w:t>
            </w:r>
          </w:p>
        </w:tc>
      </w:tr>
    </w:tbl>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What Gets Scrubbed</w:t>
      </w:r>
    </w:p>
    <w:p>
      <w:pPr>
        <w:spacing w:after="120" w:before="80"/>
      </w:pPr>
      <w:r>
        <w:rPr>
          <w:rFonts w:ascii="Arial" w:cs="Arial" w:eastAsia="Arial" w:hAnsi="Arial"/>
          <w:color w:val="2d2d2d"/>
          <w:sz w:val="22"/>
          <w:szCs w:val="22"/>
        </w:rPr>
        <w:t xml:space="preserve">The gateway automatically detects and removes the following before any request reaches an AI provider: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36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Social Insurance Numbers (SIN)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Luhn checksum validation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BC Personal Health Numbers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context keyword boosting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Alberta PHN / ULI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context keyword boosting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Ontario OHIP numbers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context keyword boosting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Quebec RAMQ numbers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context keyword boosting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Canadian postal codes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with valid first-letter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Canadian phone numbers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context keyword boosting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addresses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Microsoft Presidio built-in recognizer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Person names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Microsoft Presidio NLP (spaCy 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Street addresses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Custom regex + Presidio location 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Parcel Identifier numbers (PID)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Municipal regex recognizer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Folio / assessment roll numbers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Municipal regex recognizer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Bylaw and permit case numbers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Municipal regex recognizer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Credit card numbers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 Luhn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Bank account numbers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Regex recognizer</w:t>
            </w:r>
          </w:p>
        </w:tc>
      </w:tr>
    </w:tbl>
    <w:p>
      <w:pPr>
        <w:spacing w:after="160" w:before="0"/>
      </w:pPr>
      <w:r>
        <w:t xml:space="preserve"/>
      </w:r>
    </w:p>
    <w:p>
      <w:pPr>
        <w:spacing w:after="120" w:before="80"/>
      </w:pPr>
      <w:r>
        <w:rPr>
          <w:rFonts w:ascii="Arial" w:cs="Arial" w:eastAsia="Arial" w:hAnsi="Arial"/>
          <w:color w:val="2d2d2d"/>
          <w:sz w:val="22"/>
          <w:szCs w:val="22"/>
        </w:rPr>
        <w:t xml:space="preserve">Each rule can be toggled on or off in a single configuration file. No code changes required. If a rule causes false positives for your organization, disable it in scrubbing_rules.yaml.</w:t>
      </w:r>
    </w:p>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Architecture and Data Flow</w:t>
      </w:r>
    </w:p>
    <w:p>
      <w:pPr>
        <w:spacing w:after="120" w:before="80"/>
      </w:pPr>
      <w:r>
        <w:rPr>
          <w:rFonts w:ascii="Arial" w:cs="Arial" w:eastAsia="Arial" w:hAnsi="Arial"/>
          <w:color w:val="2d2d2d"/>
          <w:sz w:val="22"/>
          <w:szCs w:val="22"/>
        </w:rPr>
        <w:t xml:space="preserve">The gateway runs entirely inside your infrastructure. You hold the API keys. You control the scrubbing rules. You own the audit logs. Nothing leaves your network without sanitization.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Gateway proxy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FastAPI application on port 8080. Receives staff requests, scrubs PII, forwards to provider, scans response, logs everything.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database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Stores the tamper-evident audit trail. Runs on the internal Docker network, not exposed externally.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Admin dashboard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Browser-based HTML file. Connects to the gateway API to display real-time stats, request history, and audit chain status.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scrubbing_rules.yaml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Plain-text configuration file. IT coordinator toggles rules on or off without touching code.</w:t>
            </w:r>
          </w:p>
        </w:tc>
      </w:tr>
    </w:tbl>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The Tamper-Evident Audit Trail</w:t>
      </w:r>
    </w:p>
    <w:p>
      <w:pPr>
        <w:spacing w:after="120" w:before="80"/>
      </w:pPr>
      <w:r>
        <w:rPr>
          <w:rFonts w:ascii="Arial" w:cs="Arial" w:eastAsia="Arial" w:hAnsi="Arial"/>
          <w:color w:val="2d2d2d"/>
          <w:sz w:val="22"/>
          <w:szCs w:val="22"/>
        </w:rPr>
        <w:t xml:space="preserve">Every AI request is logged to PostgreSQL with a SHA-256 hash chain. Each entry's hash includes the previous entry's hash, creating a cryptographic chain.</w:t>
      </w:r>
    </w:p>
    <w:p>
      <w:pPr>
        <w:spacing w:after="120" w:before="0"/>
      </w:pPr>
      <w:r>
        <w:t xml:space="preserve"/>
      </w:r>
    </w:p>
    <w:p>
      <w:pPr>
        <w:spacing w:after="120" w:before="80"/>
      </w:pPr>
      <w:r>
        <w:rPr>
          <w:rFonts w:ascii="Arial" w:cs="Arial" w:eastAsia="Arial" w:hAnsi="Arial"/>
          <w:color w:val="2d2d2d"/>
          <w:sz w:val="22"/>
          <w:szCs w:val="22"/>
        </w:rPr>
        <w:t xml:space="preserve">If any log entry is altered after the fact, the chain breaks at that point. The /audit/verify endpoint walks the entire chain and identifies exactly which entry was tampered with.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r>
              <w:rPr>
                <w:rFonts w:ascii="Arial" w:cs="Arial" w:eastAsia="Arial" w:hAnsi="Arial"/>
                <w:i/>
                <w:iCs/>
                <w:color w:val="2d2d2d"/>
                <w:sz w:val="22"/>
                <w:szCs w:val="22"/>
              </w:rPr>
              <w:t xml:space="preserve">This means you can tell a privacy commissioner or auditor: every AI interaction in this organization is logged, the log cannot be silently altered, and here is the mathematical proof. No other municipal AI tool provides this.</w:t>
            </w:r>
          </w:p>
        </w:tc>
      </w:tr>
    </w:tbl>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Deployment Requirements</w:t>
      </w:r>
    </w:p>
    <w:p>
      <w:pPr>
        <w:spacing w:after="120" w:before="80"/>
      </w:pPr>
      <w:r>
        <w:rPr>
          <w:rFonts w:ascii="Arial" w:cs="Arial" w:eastAsia="Arial" w:hAnsi="Arial"/>
          <w:color w:val="2d2d2d"/>
          <w:sz w:val="22"/>
          <w:szCs w:val="22"/>
        </w:rPr>
        <w:t xml:space="preserve">The gateway is designed to be deployable by a generalist IT coordinator in under one hour.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Docker Desktop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be installed. Free download from docker.com.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Git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For cloning the repository and pulling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Minimum hardware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 CPU cores, 4 GB RAM, 10 GB disk space.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Network access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Outbound HTTPS to AI provider APIs (api.openai.com, api.anthropic.com,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 provider API keys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Each provider requires an API key. Keys are stored in a local .env file, never in the codebase.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Port 8080</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gateway listens on port 8080 by default. Configurable.</w:t>
            </w:r>
          </w:p>
        </w:tc>
      </w:tr>
    </w:tbl>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Deployment Steps</w:t>
      </w:r>
    </w:p>
    <w:p>
      <w:pPr>
        <w:spacing w:after="120" w:before="80"/>
      </w:pPr>
      <w:r>
        <w:rPr>
          <w:rFonts w:ascii="Arial" w:cs="Arial" w:eastAsia="Arial" w:hAnsi="Arial"/>
          <w:color w:val="2d2d2d"/>
          <w:sz w:val="22"/>
          <w:szCs w:val="22"/>
        </w:rPr>
        <w:t xml:space="preserve">Step 1: Clone the repository</w:t>
      </w:r>
    </w:p>
    <w:p>
      <w:pPr>
        <w:shd w:fill="1a2f4e" w:val="clear"/>
        <w:spacing w:after="120" w:before="80"/>
      </w:pPr>
      <w:r>
        <w:rPr>
          <w:rFonts w:ascii="Courier New" w:cs="Courier New" w:eastAsia="Courier New" w:hAnsi="Courier New"/>
          <w:color w:val="FFFFFF"/>
          <w:sz w:val="20"/>
          <w:szCs w:val="20"/>
        </w:rPr>
        <w:t xml:space="preserve">git clone https://github.com/LuminarAiConsultancy/municipal-ai-gateway.git</w:t>
      </w:r>
    </w:p>
    <w:p>
      <w:pPr>
        <w:spacing w:after="120" w:before="0"/>
      </w:pPr>
      <w:r>
        <w:t xml:space="preserve"/>
      </w:r>
    </w:p>
    <w:p>
      <w:pPr>
        <w:spacing w:after="120" w:before="80"/>
      </w:pPr>
      <w:r>
        <w:rPr>
          <w:rFonts w:ascii="Arial" w:cs="Arial" w:eastAsia="Arial" w:hAnsi="Arial"/>
          <w:color w:val="2d2d2d"/>
          <w:sz w:val="22"/>
          <w:szCs w:val="22"/>
        </w:rPr>
        <w:t xml:space="preserve">Step 2: Copy the environment template and fill in your API keys</w:t>
      </w:r>
    </w:p>
    <w:p>
      <w:pPr>
        <w:shd w:fill="1a2f4e" w:val="clear"/>
        <w:spacing w:after="120" w:before="80"/>
      </w:pPr>
      <w:r>
        <w:rPr>
          <w:rFonts w:ascii="Courier New" w:cs="Courier New" w:eastAsia="Courier New" w:hAnsi="Courier New"/>
          <w:color w:val="FFFFFF"/>
          <w:sz w:val="20"/>
          <w:szCs w:val="20"/>
        </w:rPr>
        <w:t xml:space="preserve">cp .env.example .env</w:t>
      </w:r>
    </w:p>
    <w:p>
      <w:pPr>
        <w:spacing w:after="120" w:before="0"/>
      </w:pPr>
      <w:r>
        <w:t xml:space="preserve"/>
      </w:r>
    </w:p>
    <w:p>
      <w:pPr>
        <w:spacing w:after="120" w:before="80"/>
      </w:pPr>
      <w:r>
        <w:rPr>
          <w:rFonts w:ascii="Arial" w:cs="Arial" w:eastAsia="Arial" w:hAnsi="Arial"/>
          <w:color w:val="2d2d2d"/>
          <w:sz w:val="22"/>
          <w:szCs w:val="22"/>
        </w:rPr>
        <w:t xml:space="preserve">Step 3: Start the gateway</w:t>
      </w:r>
    </w:p>
    <w:p>
      <w:pPr>
        <w:shd w:fill="1a2f4e" w:val="clear"/>
        <w:spacing w:after="120" w:before="80"/>
      </w:pPr>
      <w:r>
        <w:rPr>
          <w:rFonts w:ascii="Courier New" w:cs="Courier New" w:eastAsia="Courier New" w:hAnsi="Courier New"/>
          <w:color w:val="FFFFFF"/>
          <w:sz w:val="20"/>
          <w:szCs w:val="20"/>
        </w:rPr>
        <w:t xml:space="preserve">docker compose up -d</w:t>
      </w:r>
    </w:p>
    <w:p>
      <w:pPr>
        <w:spacing w:after="120" w:before="0"/>
      </w:pPr>
      <w:r>
        <w:t xml:space="preserve"/>
      </w:r>
    </w:p>
    <w:p>
      <w:pPr>
        <w:spacing w:after="120" w:before="80"/>
      </w:pPr>
      <w:r>
        <w:rPr>
          <w:rFonts w:ascii="Arial" w:cs="Arial" w:eastAsia="Arial" w:hAnsi="Arial"/>
          <w:color w:val="2d2d2d"/>
          <w:sz w:val="22"/>
          <w:szCs w:val="22"/>
        </w:rPr>
        <w:t xml:space="preserve">Step 4: Verify the gateway is running</w:t>
      </w:r>
    </w:p>
    <w:p>
      <w:pPr>
        <w:shd w:fill="1a2f4e" w:val="clear"/>
        <w:spacing w:after="120" w:before="80"/>
      </w:pPr>
      <w:r>
        <w:rPr>
          <w:rFonts w:ascii="Courier New" w:cs="Courier New" w:eastAsia="Courier New" w:hAnsi="Courier New"/>
          <w:color w:val="FFFFFF"/>
          <w:sz w:val="20"/>
          <w:szCs w:val="20"/>
        </w:rPr>
        <w:t xml:space="preserve">curl http://localhost:8080/health</w:t>
      </w:r>
    </w:p>
    <w:p>
      <w:pPr>
        <w:spacing w:after="120" w:before="0"/>
      </w:pPr>
      <w:r>
        <w:t xml:space="preserve"/>
      </w:r>
    </w:p>
    <w:p>
      <w:pPr>
        <w:spacing w:after="120" w:before="80"/>
      </w:pPr>
      <w:r>
        <w:rPr>
          <w:rFonts w:ascii="Arial" w:cs="Arial" w:eastAsia="Arial" w:hAnsi="Arial"/>
          <w:color w:val="2d2d2d"/>
          <w:sz w:val="22"/>
          <w:szCs w:val="22"/>
        </w:rPr>
        <w:t xml:space="preserve">Expected response: {"status":"ok"}</w:t>
      </w:r>
    </w:p>
    <w:p>
      <w:pPr>
        <w:spacing w:after="120" w:before="0"/>
      </w:pPr>
      <w:r>
        <w:t xml:space="preserve"/>
      </w:r>
    </w:p>
    <w:p>
      <w:pPr>
        <w:spacing w:after="120" w:before="80"/>
      </w:pPr>
      <w:r>
        <w:rPr>
          <w:rFonts w:ascii="Arial" w:cs="Arial" w:eastAsia="Arial" w:hAnsi="Arial"/>
          <w:color w:val="2d2d2d"/>
          <w:sz w:val="22"/>
          <w:szCs w:val="22"/>
        </w:rPr>
        <w:t xml:space="preserve">Step 5: Open the admin dashboard</w:t>
      </w:r>
    </w:p>
    <w:p>
      <w:pPr>
        <w:pStyle w:val="ListParagraph"/>
        <w:numPr>
          <w:ilvl w:val="0"/>
          <w:numId w:val="2"/>
        </w:numPr>
        <w:spacing w:after="60" w:before="60"/>
      </w:pPr>
      <w:r>
        <w:rPr>
          <w:rFonts w:ascii="Arial" w:cs="Arial" w:eastAsia="Arial" w:hAnsi="Arial"/>
          <w:color w:val="2d2d2d"/>
          <w:sz w:val="22"/>
          <w:szCs w:val="22"/>
        </w:rPr>
        <w:t xml:space="preserve">Open dashboard/index.html in a browser</w:t>
      </w:r>
    </w:p>
    <w:p>
      <w:pPr>
        <w:pStyle w:val="ListParagraph"/>
        <w:numPr>
          <w:ilvl w:val="0"/>
          <w:numId w:val="2"/>
        </w:numPr>
        <w:spacing w:after="60" w:before="60"/>
      </w:pPr>
      <w:r>
        <w:rPr>
          <w:rFonts w:ascii="Arial" w:cs="Arial" w:eastAsia="Arial" w:hAnsi="Arial"/>
          <w:color w:val="2d2d2d"/>
          <w:sz w:val="22"/>
          <w:szCs w:val="22"/>
        </w:rPr>
        <w:t xml:space="preserve">Enter your gateway URL and admin secret</w:t>
      </w:r>
    </w:p>
    <w:p>
      <w:pPr>
        <w:pStyle w:val="ListParagraph"/>
        <w:numPr>
          <w:ilvl w:val="0"/>
          <w:numId w:val="2"/>
        </w:numPr>
        <w:spacing w:after="60" w:before="60"/>
      </w:pPr>
      <w:r>
        <w:rPr>
          <w:rFonts w:ascii="Arial" w:cs="Arial" w:eastAsia="Arial" w:hAnsi="Arial"/>
          <w:color w:val="2d2d2d"/>
          <w:sz w:val="22"/>
          <w:szCs w:val="22"/>
        </w:rPr>
        <w:t xml:space="preserve">Create API keys for each department</w:t>
      </w:r>
    </w:p>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Setting Up Staff Access</w:t>
      </w:r>
    </w:p>
    <w:p>
      <w:pPr>
        <w:spacing w:after="120" w:before="80"/>
      </w:pPr>
      <w:r>
        <w:rPr>
          <w:rFonts w:ascii="Arial" w:cs="Arial" w:eastAsia="Arial" w:hAnsi="Arial"/>
          <w:color w:val="2d2d2d"/>
          <w:sz w:val="22"/>
          <w:szCs w:val="22"/>
        </w:rPr>
        <w:t xml:space="preserve">Each staff member or department receives an API key. This key is included in every AI request so the gateway knows who sent it.</w:t>
      </w:r>
    </w:p>
    <w:p>
      <w:pPr>
        <w:spacing w:after="120" w:before="0"/>
      </w:pPr>
      <w:r>
        <w:t xml:space="preserve"/>
      </w:r>
    </w:p>
    <w:p>
      <w:pPr>
        <w:spacing w:after="120" w:before="80"/>
      </w:pPr>
      <w:r>
        <w:rPr>
          <w:rFonts w:ascii="Arial" w:cs="Arial" w:eastAsia="Arial" w:hAnsi="Arial"/>
          <w:color w:val="2d2d2d"/>
          <w:sz w:val="22"/>
          <w:szCs w:val="22"/>
        </w:rPr>
        <w:t xml:space="preserve">IT creates keys via the admin dashboard or via the API. Keys can be deactivated instantly if a staff member leaves or misuses the gateway.</w:t>
      </w:r>
    </w:p>
    <w:p>
      <w:pPr>
        <w:spacing w:after="120" w:before="0"/>
      </w:pPr>
      <w:r>
        <w:t xml:space="preserve"/>
      </w:r>
    </w:p>
    <w:p>
      <w:pPr>
        <w:spacing w:after="120" w:before="80"/>
      </w:pPr>
      <w:r>
        <w:rPr>
          <w:rFonts w:ascii="Arial" w:cs="Arial" w:eastAsia="Arial" w:hAnsi="Arial"/>
          <w:color w:val="2d2d2d"/>
          <w:sz w:val="22"/>
          <w:szCs w:val="22"/>
        </w:rPr>
        <w:t xml:space="preserve">Staff configure their AI tool to route through the gateway by changing the API base URL. For most tools this is a single settings change. The gateway is compatible with any tool that uses the OpenAI-compatible API format, which includes most major AI providers.</w:t>
      </w:r>
    </w:p>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Security Posture</w:t>
      </w:r>
    </w:p>
    <w:p>
      <w:pPr>
        <w:pStyle w:val="ListParagraph"/>
        <w:numPr>
          <w:ilvl w:val="0"/>
          <w:numId w:val="2"/>
        </w:numPr>
        <w:spacing w:after="60" w:before="60"/>
      </w:pPr>
      <w:r>
        <w:rPr>
          <w:rFonts w:ascii="Arial" w:cs="Arial" w:eastAsia="Arial" w:hAnsi="Arial"/>
          <w:color w:val="2d2d2d"/>
          <w:sz w:val="22"/>
          <w:szCs w:val="22"/>
        </w:rPr>
        <w:t xml:space="preserve">All AI provider API keys are stored in your local .env file only. They are never committed to the codebase or transmitted to any third party.</w:t>
      </w:r>
    </w:p>
    <w:p>
      <w:pPr>
        <w:pStyle w:val="ListParagraph"/>
        <w:numPr>
          <w:ilvl w:val="0"/>
          <w:numId w:val="2"/>
        </w:numPr>
        <w:spacing w:after="60" w:before="60"/>
      </w:pPr>
      <w:r>
        <w:rPr>
          <w:rFonts w:ascii="Arial" w:cs="Arial" w:eastAsia="Arial" w:hAnsi="Arial"/>
          <w:color w:val="2d2d2d"/>
          <w:sz w:val="22"/>
          <w:szCs w:val="22"/>
        </w:rPr>
        <w:t xml:space="preserve">The admin endpoints require a GATEWAY_SECRET bearer token. Staff API keys cannot access admin functions.</w:t>
      </w:r>
    </w:p>
    <w:p>
      <w:pPr>
        <w:pStyle w:val="ListParagraph"/>
        <w:numPr>
          <w:ilvl w:val="0"/>
          <w:numId w:val="2"/>
        </w:numPr>
        <w:spacing w:after="60" w:before="60"/>
      </w:pPr>
      <w:r>
        <w:rPr>
          <w:rFonts w:ascii="Arial" w:cs="Arial" w:eastAsia="Arial" w:hAnsi="Arial"/>
          <w:color w:val="2d2d2d"/>
          <w:sz w:val="22"/>
          <w:szCs w:val="22"/>
        </w:rPr>
        <w:t xml:space="preserve">The PostgreSQL database runs on an internal Docker network and is not exposed to the internet.</w:t>
      </w:r>
    </w:p>
    <w:p>
      <w:pPr>
        <w:pStyle w:val="ListParagraph"/>
        <w:numPr>
          <w:ilvl w:val="0"/>
          <w:numId w:val="2"/>
        </w:numPr>
        <w:spacing w:after="60" w:before="60"/>
      </w:pPr>
      <w:r>
        <w:rPr>
          <w:rFonts w:ascii="Arial" w:cs="Arial" w:eastAsia="Arial" w:hAnsi="Arial"/>
          <w:color w:val="2d2d2d"/>
          <w:sz w:val="22"/>
          <w:szCs w:val="22"/>
        </w:rPr>
        <w:t xml:space="preserve">The .gitignore file prevents secrets from being accidentally committed to version control.</w:t>
      </w:r>
    </w:p>
    <w:p>
      <w:pPr>
        <w:pStyle w:val="ListParagraph"/>
        <w:numPr>
          <w:ilvl w:val="0"/>
          <w:numId w:val="2"/>
        </w:numPr>
        <w:spacing w:after="60" w:before="60"/>
      </w:pPr>
      <w:r>
        <w:rPr>
          <w:rFonts w:ascii="Arial" w:cs="Arial" w:eastAsia="Arial" w:hAnsi="Arial"/>
          <w:color w:val="2d2d2d"/>
          <w:sz w:val="22"/>
          <w:szCs w:val="22"/>
        </w:rPr>
        <w:t xml:space="preserve">The codebase is open source and publicly auditable at github.com/LuminarAiConsultancy/municipal-ai-gateway.</w:t>
      </w:r>
    </w:p>
    <w:p>
      <w:pPr>
        <w:pStyle w:val="ListParagraph"/>
        <w:numPr>
          <w:ilvl w:val="0"/>
          <w:numId w:val="2"/>
        </w:numPr>
        <w:spacing w:after="60" w:before="60"/>
      </w:pPr>
      <w:r>
        <w:rPr>
          <w:rFonts w:ascii="Arial" w:cs="Arial" w:eastAsia="Arial" w:hAnsi="Arial"/>
          <w:color w:val="2d2d2d"/>
          <w:sz w:val="22"/>
          <w:szCs w:val="22"/>
        </w:rPr>
        <w:t xml:space="preserve">No data is sent to LUMINARYX or any third party. All data stays in your infrastructure.</w:t>
      </w:r>
    </w:p>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Common IT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Will this break existing AI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Staff who route through the gateway use it as their API endpoint. Staff who do not route through it are unaffected. Adoption can be phased.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What if the gateway goes down?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Staff can be configured to fail gracefully. The gateway does not hard-block; it warns. You decide the failover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How much maintenance is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Minimal. Updates are a single git pull and docker compose up command. The gateway self-monitors via the health endpoint.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Does this require a dedicated server?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 It runs on any machine that can run Docker, including a spare workstation or a small cloud VM.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Can we audit what data is stored?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Yes. All data is in your PostgreSQL database. You have full access and can export or delete records at any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Is this compliant with our IT security policy?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The gateway is open source and auditable. Share the codebase with your security team or privacy officer for review.</w:t>
            </w:r>
          </w:p>
        </w:tc>
      </w:tr>
    </w:tbl>
    <w:p>
      <w:pPr>
        <w:spacing w:after="200" w:before="0"/>
      </w:pPr>
      <w:r>
        <w:t xml:space="preserve"/>
      </w:r>
    </w:p>
    <w:p>
      <w:pPr>
        <w:pStyle w:val="Heading1"/>
        <w:pBdr>
          <w:bottom w:val="single" w:color="c9a84c" w:sz="4" w:space="4"/>
        </w:pBdr>
        <w:spacing w:after="200" w:before="400"/>
      </w:pPr>
      <w:r>
        <w:rPr>
          <w:rFonts w:ascii="Arial" w:cs="Arial" w:eastAsia="Arial" w:hAnsi="Arial"/>
          <w:b/>
          <w:bCs/>
          <w:color w:val="1a2f4e"/>
          <w:sz w:val="32"/>
          <w:szCs w:val="32"/>
        </w:rPr>
        <w:t xml:space="preserve">Connection to LUMINARYX</w:t>
      </w:r>
    </w:p>
    <w:p>
      <w:pPr>
        <w:spacing w:after="120" w:before="80"/>
      </w:pPr>
      <w:r>
        <w:rPr>
          <w:rFonts w:ascii="Arial" w:cs="Arial" w:eastAsia="Arial" w:hAnsi="Arial"/>
          <w:color w:val="2d2d2d"/>
          <w:sz w:val="22"/>
          <w:szCs w:val="22"/>
        </w:rPr>
        <w:t xml:space="preserve">The Municipal AI Gateway is the enforcement layer. LUMINARYX is the governance layer. Together they provide a complete answer to any privacy commissioner or auditor.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860"/>
            <w:tcBorders>
              <w:top w:val="single" w:color="CCCCCC" w:sz="1"/>
              <w:left w:val="single" w:color="CCCCCC" w:sz="1"/>
              <w:bottom w:val="single" w:color="CCCCCC" w:sz="1"/>
              <w:right w:val="single" w:color="CCCCCC" w:sz="1"/>
            </w:tcBorders>
            <w:shd w:fill="1a2f4e"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Municipal AI Gateway (free)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What AI requests are staff making? What PII was in those requests? Can we prove the logs have not been altered?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LUMINARYX (governance platform)</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Are our AI uses approved? Which regulatory frameworks apply? Can the CAO defend these decisions to council and a privacy commissioner?</w:t>
            </w:r>
          </w:p>
        </w:tc>
      </w:tr>
    </w:tbl>
    <w:p>
      <w:pPr>
        <w:spacing w:after="160" w:before="0"/>
      </w:pPr>
      <w:r>
        <w:t xml:space="preserve"/>
      </w:r>
    </w:p>
    <w:p>
      <w:pPr>
        <w:spacing w:after="120" w:before="80"/>
      </w:pPr>
      <w:r>
        <w:rPr>
          <w:rFonts w:ascii="Arial" w:cs="Arial" w:eastAsia="Arial" w:hAnsi="Arial"/>
          <w:color w:val="2d2d2d"/>
          <w:sz w:val="22"/>
          <w:szCs w:val="22"/>
        </w:rPr>
        <w:t xml:space="preserve">The gateway generates the data. LUMINARYX provides the governance framework that makes that data defensible.</w:t>
      </w:r>
    </w:p>
    <w:p>
      <w:pPr>
        <w:spacing w:after="200" w:before="0"/>
      </w:pPr>
      <w:r>
        <w:t xml:space="preserve"/>
      </w:r>
    </w:p>
    <w:p>
      <w:pPr>
        <w:pBdr>
          <w:top w:val="single" w:color="c9a84c" w:sz="4" w:space="8"/>
        </w:pBdr>
        <w:spacing w:after="120" w:before="200"/>
      </w:pPr>
      <w:r>
        <w:rPr>
          <w:rFonts w:ascii="Arial" w:cs="Arial" w:eastAsia="Arial" w:hAnsi="Arial"/>
          <w:b/>
          <w:bCs/>
          <w:color w:val="1a2f4e"/>
          <w:sz w:val="26"/>
          <w:szCs w:val="26"/>
        </w:rPr>
        <w:t xml:space="preserve">Questions and Support</w:t>
      </w:r>
    </w:p>
    <w:p>
      <w:pPr>
        <w:spacing w:after="120" w:before="80"/>
      </w:pPr>
      <w:r>
        <w:rPr>
          <w:rFonts w:ascii="Arial" w:cs="Arial" w:eastAsia="Arial" w:hAnsi="Arial"/>
          <w:color w:val="2d2d2d"/>
          <w:sz w:val="22"/>
          <w:szCs w:val="22"/>
        </w:rPr>
        <w:t xml:space="preserve">Repository: github.com/LuminarAiConsultancy/municipal-ai-gateway</w:t>
      </w:r>
    </w:p>
    <w:p>
      <w:pPr>
        <w:spacing w:after="120" w:before="80"/>
      </w:pPr>
      <w:r>
        <w:rPr>
          <w:rFonts w:ascii="Arial" w:cs="Arial" w:eastAsia="Arial" w:hAnsi="Arial"/>
          <w:color w:val="2d2d2d"/>
          <w:sz w:val="22"/>
          <w:szCs w:val="22"/>
        </w:rPr>
        <w:t xml:space="preserve">LUMINARYX: luminaryx.ca</w:t>
      </w:r>
    </w:p>
    <w:p>
      <w:pPr>
        <w:spacing w:after="120" w:before="80"/>
      </w:pPr>
      <w:r>
        <w:rPr>
          <w:rFonts w:ascii="Arial" w:cs="Arial" w:eastAsia="Arial" w:hAnsi="Arial"/>
          <w:color w:val="2d2d2d"/>
          <w:sz w:val="22"/>
          <w:szCs w:val="22"/>
        </w:rPr>
        <w:t xml:space="preserve">License: MIT — free to use, deploy, and modify</w:t>
      </w:r>
    </w:p>
    <w:p>
      <w:pPr>
        <w:spacing w:after="80" w:before="0"/>
      </w:pPr>
      <w:r>
        <w:t xml:space="preserve"/>
      </w:r>
    </w:p>
    <w:p>
      <w:r>
        <w:rPr>
          <w:rFonts w:ascii="Arial" w:cs="Arial" w:eastAsia="Arial" w:hAnsi="Arial"/>
          <w:b/>
          <w:bCs/>
          <w:color w:val="c9a84c"/>
          <w:sz w:val="20"/>
          <w:szCs w:val="20"/>
        </w:rPr>
        <w:t xml:space="preserve">Powered by LUMINARYX  |  Defensible Technology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888888"/>
        <w:sz w:val="18"/>
        <w:szCs w:val="18"/>
      </w:rPr>
      <w:t xml:space="preserve">Powered by LUMINARYX  |  luminaryx.ca  |  Defensible Technology Decisions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a2f4e"/>
        <w:sz w:val="20"/>
        <w:szCs w:val="20"/>
      </w:rPr>
      <w:t xml:space="preserve">Municipal AI Gateway</w:t>
    </w:r>
    <w:r>
      <w:rPr>
        <w:rFonts w:ascii="Arial" w:cs="Arial" w:eastAsia="Arial" w:hAnsi="Arial"/>
        <w:color w:val="888888"/>
        <w:sz w:val="20"/>
        <w:szCs w:val="20"/>
      </w:rPr>
      <w:t xml:space="preserve">   |   IT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f4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2f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2026-04-02T21:35:00.868Z</dcterms:created>
  <dcterms:modified xsi:type="dcterms:W3CDTF">2026-04-02T21:35:00.869Z</dcterms:modified>
</cp:coreProperties>
</file>

<file path=docProps/custom.xml><?xml version="1.0" encoding="utf-8"?>
<Properties xmlns="http://schemas.openxmlformats.org/officeDocument/2006/custom-properties" xmlns:vt="http://schemas.openxmlformats.org/officeDocument/2006/docPropsVTypes"/>
</file>