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Arial" w:cs="Arial" w:eastAsia="Arial" w:hAnsi="Arial"/>
          <w:b/>
          <w:bCs/>
          <w:color w:val="1B2A4A"/>
          <w:sz w:val="52"/>
          <w:szCs w:val="52"/>
        </w:rPr>
        <w:t xml:space="preserve">Municipal AI Gateway</w:t>
      </w:r>
    </w:p>
    <w:p>
      <w:pPr>
        <w:spacing w:after="0" w:before="80"/>
      </w:pPr>
      <w:r>
        <w:rPr>
          <w:rFonts w:ascii="Arial" w:cs="Arial" w:eastAsia="Arial" w:hAnsi="Arial"/>
          <w:color w:val="C9A84C"/>
          <w:sz w:val="32"/>
          <w:szCs w:val="32"/>
        </w:rPr>
        <w:t xml:space="preserve">Complete AI Enforcement Guide</w:t>
      </w:r>
    </w:p>
    <w:p>
      <w:pPr>
        <w:pBdr>
          <w:bottom w:val="single" w:color="C9A84C" w:sz="6" w:space="4"/>
        </w:pBdr>
        <w:spacing w:after="0" w:before="40"/>
      </w:pPr>
      <w:r>
        <w:rPr>
          <w:rFonts w:ascii="Arial" w:cs="Arial" w:eastAsia="Arial" w:hAnsi="Arial"/>
          <w:color w:val="666666"/>
          <w:sz w:val="24"/>
          <w:szCs w:val="24"/>
        </w:rPr>
        <w:t xml:space="preserve">How to Govern AI Use Across Your Entire Organization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6" w:val="clear"/>
            <w:tcMar>
              <w:top w:type="dxa" w:w="120"/>
              <w:left w:type="dxa" w:w="200"/>
              <w:bottom w:type="dxa" w:w="120"/>
              <w:right w:type="dxa" w:w="200"/>
            </w:tcMar>
          </w:tcPr>
          <w:p>
            <w:pPr>
              <w:spacing w:after="0" w:before="0"/>
            </w:pPr>
            <w:r>
              <w:rPr>
                <w:rFonts w:ascii="Arial" w:cs="Arial" w:eastAsia="Arial" w:hAnsi="Arial"/>
                <w:i/>
                <w:iCs/>
                <w:color w:val="1B2A4A"/>
                <w:sz w:val="22"/>
                <w:szCs w:val="22"/>
              </w:rPr>
              <w:t xml:space="preserve">The Municipal AI Gateway intercepts API-routed AI traffic. This guide explains how to close the remaining gaps so that no AI use in your organization goes ungoverned -- whether staff are at their desk, on city wifi, or working from home.</w:t>
            </w:r>
          </w:p>
        </w:tc>
      </w:tr>
    </w:tbl>
    <w:p>
      <w:pPr>
        <w:spacing w:after="0" w:before="120"/>
      </w:pPr>
      <w:r>
        <w:t xml:space="preserve"/>
      </w:r>
    </w:p>
    <w:p>
      <w:pPr>
        <w:pStyle w:val="Heading1"/>
        <w:pBdr>
          <w:bottom w:val="single" w:color="C9A84C" w:sz="4" w:space="4"/>
        </w:pBdr>
        <w:spacing w:after="120" w:before="360"/>
      </w:pPr>
      <w:r>
        <w:rPr>
          <w:rFonts w:ascii="Arial" w:cs="Arial" w:eastAsia="Arial" w:hAnsi="Arial"/>
          <w:b/>
          <w:bCs/>
          <w:color w:val="1B2A4A"/>
          <w:sz w:val="28"/>
          <w:szCs w:val="28"/>
        </w:rPr>
        <w:t xml:space="preserve">The Three Gaps and How to Close Them</w:t>
      </w:r>
    </w:p>
    <w:p>
      <w:pPr>
        <w:spacing w:after="60" w:before="60"/>
      </w:pPr>
      <w:r>
        <w:rPr>
          <w:rFonts w:ascii="Arial" w:cs="Arial" w:eastAsia="Arial" w:hAnsi="Arial"/>
          <w:sz w:val="22"/>
          <w:szCs w:val="22"/>
        </w:rPr>
        <w:t xml:space="preserve">The Gateway alone does not provide complete coverage. There are three categories of AI use, and each requires a different layer of control.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to Close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Browser-based AI use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visiting chat.openai.com directly in a browser. The Gateway never sees this traffic.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Firewall rules blocking AI provider domains on your network</w:t>
            </w:r>
          </w:p>
        </w:tc>
      </w:tr>
      <w:tr>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Personal devices on city wifi</w:t>
            </w:r>
          </w:p>
        </w:tc>
        <w:tc>
          <w:tcPr>
            <w:tcW w:type="dxa" w:w="34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Staff using a personal phone or tablet on the city wireless network.</w:t>
            </w:r>
          </w:p>
        </w:tc>
        <w:tc>
          <w:tcPr>
            <w:tcW w:type="dxa" w:w="34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Firewall rules apply to all traffic on the network, including personal devices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devices on personal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using a personal phone on their own cellular data plan, at home, or at a coffee shop.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 use policy with signed acknowledgment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20"/>
              <w:left w:type="dxa" w:w="200"/>
              <w:bottom w:type="dxa" w:w="120"/>
              <w:right w:type="dxa" w:w="200"/>
            </w:tcMar>
          </w:tcPr>
          <w:p>
            <w:pPr>
              <w:spacing w:after="0" w:before="0"/>
            </w:pPr>
            <w:r>
              <w:rPr>
                <w:rFonts w:ascii="Arial" w:cs="Arial" w:eastAsia="Arial" w:hAnsi="Arial"/>
                <w:i/>
                <w:iCs/>
                <w:color w:val="1B2A4A"/>
                <w:sz w:val="22"/>
                <w:szCs w:val="22"/>
              </w:rPr>
              <w:t xml:space="preserve">No technical system reaches a personal device on a personal data connection. That gap is closed by policy, not technology -- a signed acceptable use agreement that makes AI misuse an HR matter.</w:t>
            </w:r>
          </w:p>
        </w:tc>
      </w:tr>
    </w:tbl>
    <w:p>
      <w:pPr>
        <w:spacing w:after="0" w:before="120"/>
      </w:pPr>
      <w:r>
        <w:t xml:space="preserve"/>
      </w:r>
    </w:p>
    <w:p>
      <w:pPr>
        <w:pStyle w:val="Heading1"/>
        <w:pBdr>
          <w:bottom w:val="single" w:color="C9A84C" w:sz="4" w:space="4"/>
        </w:pBdr>
        <w:spacing w:after="120" w:before="360"/>
      </w:pPr>
      <w:r>
        <w:rPr>
          <w:rFonts w:ascii="Arial" w:cs="Arial" w:eastAsia="Arial" w:hAnsi="Arial"/>
          <w:b/>
          <w:bCs/>
          <w:color w:val="1B2A4A"/>
          <w:sz w:val="28"/>
          <w:szCs w:val="28"/>
        </w:rPr>
        <w:t xml:space="preserve">Layer 1: Firewall Rules</w:t>
      </w:r>
    </w:p>
    <w:p>
      <w:pPr>
        <w:spacing w:after="60" w:before="60"/>
      </w:pPr>
      <w:r>
        <w:rPr>
          <w:rFonts w:ascii="Arial" w:cs="Arial" w:eastAsia="Arial" w:hAnsi="Arial"/>
          <w:sz w:val="22"/>
          <w:szCs w:val="22"/>
        </w:rPr>
        <w:t xml:space="preserve">Adding firewall rules to block direct connections to AI providers forces all AI traffic through the Gateway. This is the most important technical step beyond deploying the Gateway itself.</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What the firewall rules do</w:t>
      </w:r>
    </w:p>
    <w:p>
      <w:pPr>
        <w:spacing w:after="60" w:before="60"/>
      </w:pPr>
      <w:r>
        <w:rPr>
          <w:rFonts w:ascii="Arial" w:cs="Arial" w:eastAsia="Arial" w:hAnsi="Arial"/>
          <w:sz w:val="22"/>
          <w:szCs w:val="22"/>
        </w:rPr>
        <w:t xml:space="preserve">When a staff member tries to open chat.openai.com directly in their browser, the firewall drops the connection before it leaves your network. The Gateway becomes the only path to AI providers. Staff who have been given a Gateway API key continue working normally. Staff who have not been set up through the Gateway are blocked.</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Domains to block</w:t>
      </w:r>
    </w:p>
    <w:p>
      <w:pPr>
        <w:spacing w:after="60" w:before="60"/>
      </w:pPr>
      <w:r>
        <w:rPr>
          <w:rFonts w:ascii="Arial" w:cs="Arial" w:eastAsia="Arial" w:hAnsi="Arial"/>
          <w:sz w:val="22"/>
          <w:szCs w:val="22"/>
        </w:rPr>
        <w:t xml:space="preserve">Block outbound HTTPS (port 443) connections to these domains. Block both the primary domain and all subdomains (use wildcard rules where your firewall supports them).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Domains to Block</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ChatGPT / OpenAI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chat.openai.com, *.openai.com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browser ChatGPT and direct API access outside the Gateway</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Microsoft Copilot</w:t>
            </w:r>
          </w:p>
        </w:tc>
        <w:tc>
          <w:tcPr>
            <w:tcW w:type="dxa" w:w="3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copilot.microsoft.com, *.copilot.microsoft.com</w:t>
            </w:r>
          </w:p>
        </w:tc>
        <w:tc>
          <w:tcPr>
            <w:tcW w:type="dxa" w:w="35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Does not affect Microsoft 365 Copilot embedded in Office apps (see Section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gemini.google.com, *.gemini.google.com, bard.google.com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browser-based Gemini access</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Anthropic Claude</w:t>
            </w:r>
          </w:p>
        </w:tc>
        <w:tc>
          <w:tcPr>
            <w:tcW w:type="dxa" w:w="3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claude.ai, *.claude.ai</w:t>
            </w:r>
          </w:p>
        </w:tc>
        <w:tc>
          <w:tcPr>
            <w:tcW w:type="dxa" w:w="35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Gateway routes to api.anthropic.com separately -- do not block that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Perplexity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perplexity.ai, *.perplexity.ai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search tool commonly used by staff</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Character.AI</w:t>
            </w:r>
          </w:p>
        </w:tc>
        <w:tc>
          <w:tcPr>
            <w:tcW w:type="dxa" w:w="3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character.ai, *.character.ai</w:t>
            </w:r>
          </w:p>
        </w:tc>
        <w:tc>
          <w:tcPr>
            <w:tcW w:type="dxa" w:w="35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Roleplay AI -- low productivity use, high data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 AI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meta.ai, *.meta.ai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Meta's AI assistant embedded in Facebook/Instagram apps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6" w:val="clear"/>
            <w:tcMar>
              <w:top w:type="dxa" w:w="120"/>
              <w:left w:type="dxa" w:w="200"/>
              <w:bottom w:type="dxa" w:w="120"/>
              <w:right w:type="dxa" w:w="200"/>
            </w:tcMar>
          </w:tcPr>
          <w:p>
            <w:pPr>
              <w:spacing w:after="0" w:before="0"/>
            </w:pPr>
            <w:r>
              <w:rPr>
                <w:rFonts w:ascii="Arial" w:cs="Arial" w:eastAsia="Arial" w:hAnsi="Arial"/>
                <w:i/>
                <w:iCs/>
                <w:color w:val="1B2A4A"/>
                <w:sz w:val="22"/>
                <w:szCs w:val="22"/>
              </w:rPr>
              <w:t xml:space="preserve">Do not block api.openai.com, api.anthropic.com, or other provider API endpoints. The Gateway needs outbound access to these to forward sanitized requests. Only block the browser-facing consumer URLs.</w:t>
            </w:r>
          </w:p>
        </w:tc>
      </w:tr>
    </w:tbl>
    <w:p>
      <w:pPr>
        <w:spacing w:after="0" w:before="120"/>
      </w:pPr>
      <w:r>
        <w:t xml:space="preserve"/>
      </w:r>
    </w:p>
    <w:p>
      <w:pPr>
        <w:pStyle w:val="Heading2"/>
        <w:spacing w:after="80" w:before="280"/>
      </w:pPr>
      <w:r>
        <w:rPr>
          <w:rFonts w:ascii="Arial" w:cs="Arial" w:eastAsia="Arial" w:hAnsi="Arial"/>
          <w:b/>
          <w:bCs/>
          <w:color w:val="1B2A4A"/>
          <w:sz w:val="24"/>
          <w:szCs w:val="24"/>
        </w:rPr>
        <w:t xml:space="preserve">How to add the rules</w:t>
      </w:r>
    </w:p>
    <w:p>
      <w:pPr>
        <w:spacing w:after="60" w:before="60"/>
      </w:pPr>
      <w:r>
        <w:rPr>
          <w:rFonts w:ascii="Arial" w:cs="Arial" w:eastAsia="Arial" w:hAnsi="Arial"/>
          <w:sz w:val="22"/>
          <w:szCs w:val="22"/>
        </w:rPr>
        <w:t xml:space="preserve">The exact steps depend on your firewall vendor. The most common systems in municipal environments are pfSense, Cisco Meraki, Fortinet FortiGate, and Ubiquiti UniFi. The general process is the same across all of them.</w:t>
      </w:r>
    </w:p>
    <w:p>
      <w:pPr>
        <w:spacing w:after="0" w:before="120"/>
      </w:pPr>
      <w:r>
        <w:t xml:space="preserve"/>
      </w:r>
    </w:p>
    <w:p>
      <w:pPr>
        <w:pStyle w:val="ListParagraph"/>
        <w:numPr>
          <w:ilvl w:val="0"/>
          <w:numId w:val="2"/>
        </w:numPr>
        <w:spacing w:after="40" w:before="40"/>
      </w:pPr>
      <w:r>
        <w:rPr>
          <w:rFonts w:ascii="Arial" w:cs="Arial" w:eastAsia="Arial" w:hAnsi="Arial"/>
          <w:sz w:val="22"/>
          <w:szCs w:val="22"/>
        </w:rPr>
        <w:t xml:space="preserve">Log in to your firewall management console.</w:t>
      </w:r>
    </w:p>
    <w:p>
      <w:pPr>
        <w:pStyle w:val="ListParagraph"/>
        <w:numPr>
          <w:ilvl w:val="0"/>
          <w:numId w:val="2"/>
        </w:numPr>
        <w:spacing w:after="40" w:before="40"/>
      </w:pPr>
      <w:r>
        <w:rPr>
          <w:rFonts w:ascii="Arial" w:cs="Arial" w:eastAsia="Arial" w:hAnsi="Arial"/>
          <w:sz w:val="22"/>
          <w:szCs w:val="22"/>
        </w:rPr>
        <w:t xml:space="preserve">Navigate to outbound firewall rules or web filtering / URL filtering.</w:t>
      </w:r>
    </w:p>
    <w:p>
      <w:pPr>
        <w:pStyle w:val="ListParagraph"/>
        <w:numPr>
          <w:ilvl w:val="0"/>
          <w:numId w:val="2"/>
        </w:numPr>
        <w:spacing w:after="40" w:before="40"/>
      </w:pPr>
      <w:r>
        <w:rPr>
          <w:rFonts w:ascii="Arial" w:cs="Arial" w:eastAsia="Arial" w:hAnsi="Arial"/>
          <w:sz w:val="22"/>
          <w:szCs w:val="22"/>
        </w:rPr>
        <w:t xml:space="preserve">Create a new rule or URL category for each domain in the table above.</w:t>
      </w:r>
    </w:p>
    <w:p>
      <w:pPr>
        <w:pStyle w:val="ListParagraph"/>
        <w:numPr>
          <w:ilvl w:val="0"/>
          <w:numId w:val="2"/>
        </w:numPr>
        <w:spacing w:after="40" w:before="40"/>
      </w:pPr>
      <w:r>
        <w:rPr>
          <w:rFonts w:ascii="Arial" w:cs="Arial" w:eastAsia="Arial" w:hAnsi="Arial"/>
          <w:sz w:val="22"/>
          <w:szCs w:val="22"/>
        </w:rPr>
        <w:t xml:space="preserve">Set the action to Block or Deny.</w:t>
      </w:r>
    </w:p>
    <w:p>
      <w:pPr>
        <w:pStyle w:val="ListParagraph"/>
        <w:numPr>
          <w:ilvl w:val="0"/>
          <w:numId w:val="2"/>
        </w:numPr>
        <w:spacing w:after="40" w:before="40"/>
      </w:pPr>
      <w:r>
        <w:rPr>
          <w:rFonts w:ascii="Arial" w:cs="Arial" w:eastAsia="Arial" w:hAnsi="Arial"/>
          <w:sz w:val="22"/>
          <w:szCs w:val="22"/>
        </w:rPr>
        <w:t xml:space="preserve">Apply the rule to all internal network interfaces (LAN, staff wifi, guest wifi if applicable).</w:t>
      </w:r>
    </w:p>
    <w:p>
      <w:pPr>
        <w:pStyle w:val="ListParagraph"/>
        <w:numPr>
          <w:ilvl w:val="0"/>
          <w:numId w:val="2"/>
        </w:numPr>
        <w:spacing w:after="40" w:before="40"/>
      </w:pPr>
      <w:r>
        <w:rPr>
          <w:rFonts w:ascii="Arial" w:cs="Arial" w:eastAsia="Arial" w:hAnsi="Arial"/>
          <w:sz w:val="22"/>
          <w:szCs w:val="22"/>
        </w:rPr>
        <w:t xml:space="preserve">Test by attempting to visit chat.openai.com from a staff workstation. You should see a block page or a connection error.</w:t>
      </w:r>
    </w:p>
    <w:p>
      <w:pPr>
        <w:pStyle w:val="ListParagraph"/>
        <w:numPr>
          <w:ilvl w:val="0"/>
          <w:numId w:val="2"/>
        </w:numPr>
        <w:spacing w:after="40" w:before="40"/>
      </w:pPr>
      <w:r>
        <w:rPr>
          <w:rFonts w:ascii="Arial" w:cs="Arial" w:eastAsia="Arial" w:hAnsi="Arial"/>
          <w:sz w:val="22"/>
          <w:szCs w:val="22"/>
        </w:rPr>
        <w:t xml:space="preserve">Document the rule change in your change log with the date and rationale.</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pfSense specific steps</w:t>
      </w:r>
    </w:p>
    <w:p>
      <w:pPr>
        <w:pStyle w:val="ListParagraph"/>
        <w:numPr>
          <w:ilvl w:val="0"/>
          <w:numId w:val="2"/>
        </w:numPr>
        <w:spacing w:after="40" w:before="40"/>
      </w:pPr>
      <w:r>
        <w:rPr>
          <w:rFonts w:ascii="Arial" w:cs="Arial" w:eastAsia="Arial" w:hAnsi="Arial"/>
          <w:sz w:val="22"/>
          <w:szCs w:val="22"/>
        </w:rPr>
        <w:t xml:space="preserve">Firewall &gt; Rules &gt; LAN tab.</w:t>
      </w:r>
    </w:p>
    <w:p>
      <w:pPr>
        <w:pStyle w:val="ListParagraph"/>
        <w:numPr>
          <w:ilvl w:val="0"/>
          <w:numId w:val="2"/>
        </w:numPr>
        <w:spacing w:after="40" w:before="40"/>
      </w:pPr>
      <w:r>
        <w:rPr>
          <w:rFonts w:ascii="Arial" w:cs="Arial" w:eastAsia="Arial" w:hAnsi="Arial"/>
          <w:sz w:val="22"/>
          <w:szCs w:val="22"/>
        </w:rPr>
        <w:t xml:space="preserve">Add rule: Action = Block, Protocol = TCP, Destination = single host or alias.</w:t>
      </w:r>
    </w:p>
    <w:p>
      <w:pPr>
        <w:pStyle w:val="ListParagraph"/>
        <w:numPr>
          <w:ilvl w:val="0"/>
          <w:numId w:val="2"/>
        </w:numPr>
        <w:spacing w:after="40" w:before="40"/>
      </w:pPr>
      <w:r>
        <w:rPr>
          <w:rFonts w:ascii="Arial" w:cs="Arial" w:eastAsia="Arial" w:hAnsi="Arial"/>
          <w:sz w:val="22"/>
          <w:szCs w:val="22"/>
        </w:rPr>
        <w:t xml:space="preserve">Create a Firewall &gt; Aliases entry named AI_Providers containing all blocked domains. This makes future updates easier.</w:t>
      </w:r>
    </w:p>
    <w:p>
      <w:pPr>
        <w:pStyle w:val="ListParagraph"/>
        <w:numPr>
          <w:ilvl w:val="0"/>
          <w:numId w:val="2"/>
        </w:numPr>
        <w:spacing w:after="40" w:before="40"/>
      </w:pPr>
      <w:r>
        <w:rPr>
          <w:rFonts w:ascii="Arial" w:cs="Arial" w:eastAsia="Arial" w:hAnsi="Arial"/>
          <w:sz w:val="22"/>
          <w:szCs w:val="22"/>
        </w:rPr>
        <w:t xml:space="preserve">Place the block rule above any allow-all rules in the list.</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Cisco Meraki specific steps</w:t>
      </w:r>
    </w:p>
    <w:p>
      <w:pPr>
        <w:pStyle w:val="ListParagraph"/>
        <w:numPr>
          <w:ilvl w:val="0"/>
          <w:numId w:val="2"/>
        </w:numPr>
        <w:spacing w:after="40" w:before="40"/>
      </w:pPr>
      <w:r>
        <w:rPr>
          <w:rFonts w:ascii="Arial" w:cs="Arial" w:eastAsia="Arial" w:hAnsi="Arial"/>
          <w:sz w:val="22"/>
          <w:szCs w:val="22"/>
        </w:rPr>
        <w:t xml:space="preserve">Security &amp; SD-WAN &gt; Content Filtering.</w:t>
      </w:r>
    </w:p>
    <w:p>
      <w:pPr>
        <w:pStyle w:val="ListParagraph"/>
        <w:numPr>
          <w:ilvl w:val="0"/>
          <w:numId w:val="2"/>
        </w:numPr>
        <w:spacing w:after="40" w:before="40"/>
      </w:pPr>
      <w:r>
        <w:rPr>
          <w:rFonts w:ascii="Arial" w:cs="Arial" w:eastAsia="Arial" w:hAnsi="Arial"/>
          <w:sz w:val="22"/>
          <w:szCs w:val="22"/>
        </w:rPr>
        <w:t xml:space="preserve">Add URLs to the Blocked URL Patterns list.</w:t>
      </w:r>
    </w:p>
    <w:p>
      <w:pPr>
        <w:pStyle w:val="ListParagraph"/>
        <w:numPr>
          <w:ilvl w:val="0"/>
          <w:numId w:val="2"/>
        </w:numPr>
        <w:spacing w:after="40" w:before="40"/>
      </w:pPr>
      <w:r>
        <w:rPr>
          <w:rFonts w:ascii="Arial" w:cs="Arial" w:eastAsia="Arial" w:hAnsi="Arial"/>
          <w:sz w:val="22"/>
          <w:szCs w:val="22"/>
        </w:rPr>
        <w:t xml:space="preserve">Meraki supports wildcard patterns -- use *.openai.com to catch all subdomains.</w:t>
      </w:r>
    </w:p>
    <w:p>
      <w:pPr>
        <w:pStyle w:val="ListParagraph"/>
        <w:numPr>
          <w:ilvl w:val="0"/>
          <w:numId w:val="2"/>
        </w:numPr>
        <w:spacing w:after="40" w:before="40"/>
      </w:pPr>
      <w:r>
        <w:rPr>
          <w:rFonts w:ascii="Arial" w:cs="Arial" w:eastAsia="Arial" w:hAnsi="Arial"/>
          <w:sz w:val="22"/>
          <w:szCs w:val="22"/>
        </w:rPr>
        <w:t xml:space="preserve">Apply to all networks or specific SSIDs as needed.</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Fortinet FortiGate specific steps</w:t>
      </w:r>
    </w:p>
    <w:p>
      <w:pPr>
        <w:pStyle w:val="ListParagraph"/>
        <w:numPr>
          <w:ilvl w:val="0"/>
          <w:numId w:val="2"/>
        </w:numPr>
        <w:spacing w:after="40" w:before="40"/>
      </w:pPr>
      <w:r>
        <w:rPr>
          <w:rFonts w:ascii="Arial" w:cs="Arial" w:eastAsia="Arial" w:hAnsi="Arial"/>
          <w:sz w:val="22"/>
          <w:szCs w:val="22"/>
        </w:rPr>
        <w:t xml:space="preserve">Security Profiles &gt; Web Filter &gt; Create or edit a profile.</w:t>
      </w:r>
    </w:p>
    <w:p>
      <w:pPr>
        <w:pStyle w:val="ListParagraph"/>
        <w:numPr>
          <w:ilvl w:val="0"/>
          <w:numId w:val="2"/>
        </w:numPr>
        <w:spacing w:after="40" w:before="40"/>
      </w:pPr>
      <w:r>
        <w:rPr>
          <w:rFonts w:ascii="Arial" w:cs="Arial" w:eastAsia="Arial" w:hAnsi="Arial"/>
          <w:sz w:val="22"/>
          <w:szCs w:val="22"/>
        </w:rPr>
        <w:t xml:space="preserve">URL Filter tab &gt; Add entries for each domain with Action = Block.</w:t>
      </w:r>
    </w:p>
    <w:p>
      <w:pPr>
        <w:pStyle w:val="ListParagraph"/>
        <w:numPr>
          <w:ilvl w:val="0"/>
          <w:numId w:val="2"/>
        </w:numPr>
        <w:spacing w:after="40" w:before="40"/>
      </w:pPr>
      <w:r>
        <w:rPr>
          <w:rFonts w:ascii="Arial" w:cs="Arial" w:eastAsia="Arial" w:hAnsi="Arial"/>
          <w:sz w:val="22"/>
          <w:szCs w:val="22"/>
        </w:rPr>
        <w:t xml:space="preserve">Apply the web filter profile to your outbound firewall policy.</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Staff communication when blocking goes live</w:t>
      </w:r>
    </w:p>
    <w:p>
      <w:pPr>
        <w:spacing w:after="60" w:before="60"/>
      </w:pPr>
      <w:r>
        <w:rPr>
          <w:rFonts w:ascii="Arial" w:cs="Arial" w:eastAsia="Arial" w:hAnsi="Arial"/>
          <w:sz w:val="22"/>
          <w:szCs w:val="22"/>
        </w:rPr>
        <w:t xml:space="preserve">Before enabling blocks, send a brief notice to all staff. Surprise blocks create IT help desk tickets and frustration.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20"/>
              <w:left w:type="dxa" w:w="200"/>
              <w:bottom w:type="dxa" w:w="120"/>
              <w:right w:type="dxa" w:w="200"/>
            </w:tcMar>
          </w:tcPr>
          <w:p>
            <w:pPr>
              <w:spacing w:after="0" w:before="0"/>
            </w:pPr>
            <w:r>
              <w:rPr>
                <w:rFonts w:ascii="Arial" w:cs="Arial" w:eastAsia="Arial" w:hAnsi="Arial"/>
                <w:i/>
                <w:iCs/>
                <w:color w:val="1B2A4A"/>
                <w:sz w:val="22"/>
                <w:szCs w:val="22"/>
              </w:rPr>
              <w:t xml:space="preserve">Sample notice: Starting [date], direct access to external AI tools including ChatGPT, Copilot, and Gemini will be blocked on the city network. Staff who need AI tools for work purposes should contact IT to be set up with access through the city's AI Gateway. This change is part of our AI governance program to protect resident data and ensure all AI use is auditable.</w:t>
            </w:r>
          </w:p>
        </w:tc>
      </w:tr>
    </w:tbl>
    <w:p>
      <w:pPr>
        <w:spacing w:after="0" w:before="120"/>
      </w:pPr>
      <w:r>
        <w:t xml:space="preserve"/>
      </w:r>
    </w:p>
    <w:p>
      <w:pPr>
        <w:pStyle w:val="Heading1"/>
        <w:pBdr>
          <w:bottom w:val="single" w:color="C9A84C" w:sz="4" w:space="4"/>
        </w:pBdr>
        <w:spacing w:after="120" w:before="360"/>
      </w:pPr>
      <w:r>
        <w:rPr>
          <w:rFonts w:ascii="Arial" w:cs="Arial" w:eastAsia="Arial" w:hAnsi="Arial"/>
          <w:b/>
          <w:bCs/>
          <w:color w:val="1B2A4A"/>
          <w:sz w:val="28"/>
          <w:szCs w:val="28"/>
        </w:rPr>
        <w:t xml:space="preserve">Layer 2: Device Management (MDM)</w:t>
      </w:r>
    </w:p>
    <w:p>
      <w:pPr>
        <w:spacing w:after="60" w:before="60"/>
      </w:pPr>
      <w:r>
        <w:rPr>
          <w:rFonts w:ascii="Arial" w:cs="Arial" w:eastAsia="Arial" w:hAnsi="Arial"/>
          <w:sz w:val="22"/>
          <w:szCs w:val="22"/>
        </w:rPr>
        <w:t xml:space="preserve">Firewall rules protect your network. Device management protects city-owned devices regardless of which network they are on. This matters for staff who work from home, attend off-site meetings, or use city laptops on personal wifi.</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What MDM does</w:t>
      </w:r>
    </w:p>
    <w:p>
      <w:pPr>
        <w:spacing w:after="60" w:before="60"/>
      </w:pPr>
      <w:r>
        <w:rPr>
          <w:rFonts w:ascii="Arial" w:cs="Arial" w:eastAsia="Arial" w:hAnsi="Arial"/>
          <w:sz w:val="22"/>
          <w:szCs w:val="22"/>
        </w:rPr>
        <w:t xml:space="preserve">Mobile Device Management (MDM) software lets IT push configuration and policy to every managed device. For AI governance, the relevant capabilities are browser policy (blocking AI domains in managed browsers), certificate management (trusting the Gateway's SSL certificate), and proxy enforcement (forcing all traffic through the Gateway even off the city network).</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Microsoft Intune (most common in BC municipalities)</w:t>
      </w:r>
    </w:p>
    <w:p>
      <w:pPr>
        <w:spacing w:after="60" w:before="60"/>
      </w:pPr>
      <w:r>
        <w:rPr>
          <w:rFonts w:ascii="Arial" w:cs="Arial" w:eastAsia="Arial" w:hAnsi="Arial"/>
          <w:sz w:val="22"/>
          <w:szCs w:val="22"/>
        </w:rPr>
        <w:t xml:space="preserve">Most municipalities using Microsoft 365 already have Intune included in their subscription and are not using it. Check your M365 admin centre under Devices &gt; Intune to see if it is active.</w:t>
      </w:r>
    </w:p>
    <w:p>
      <w:pPr>
        <w:spacing w:after="0" w:before="120"/>
      </w:pPr>
      <w:r>
        <w:t xml:space="preserve"/>
      </w:r>
    </w:p>
    <w:p>
      <w:pPr>
        <w:spacing w:after="60" w:before="200"/>
      </w:pPr>
      <w:r>
        <w:rPr>
          <w:rFonts w:ascii="Arial" w:cs="Arial" w:eastAsia="Arial" w:hAnsi="Arial"/>
          <w:b/>
          <w:bCs/>
          <w:color w:val="1B2A4A"/>
          <w:sz w:val="22"/>
          <w:szCs w:val="22"/>
        </w:rPr>
        <w:t xml:space="preserve">Block AI domains in managed browsers via Intune</w:t>
      </w:r>
    </w:p>
    <w:p>
      <w:pPr>
        <w:pStyle w:val="ListParagraph"/>
        <w:numPr>
          <w:ilvl w:val="0"/>
          <w:numId w:val="2"/>
        </w:numPr>
        <w:spacing w:after="40" w:before="40"/>
      </w:pPr>
      <w:r>
        <w:rPr>
          <w:rFonts w:ascii="Arial" w:cs="Arial" w:eastAsia="Arial" w:hAnsi="Arial"/>
          <w:sz w:val="22"/>
          <w:szCs w:val="22"/>
        </w:rPr>
        <w:t xml:space="preserve">Microsoft Endpoint Manager admin centre (intune.microsoft.com).</w:t>
      </w:r>
    </w:p>
    <w:p>
      <w:pPr>
        <w:pStyle w:val="ListParagraph"/>
        <w:numPr>
          <w:ilvl w:val="0"/>
          <w:numId w:val="2"/>
        </w:numPr>
        <w:spacing w:after="40" w:before="40"/>
      </w:pPr>
      <w:r>
        <w:rPr>
          <w:rFonts w:ascii="Arial" w:cs="Arial" w:eastAsia="Arial" w:hAnsi="Arial"/>
          <w:sz w:val="22"/>
          <w:szCs w:val="22"/>
        </w:rPr>
        <w:t xml:space="preserve">Devices &gt; Configuration Profiles &gt; Create Profile.</w:t>
      </w:r>
    </w:p>
    <w:p>
      <w:pPr>
        <w:pStyle w:val="ListParagraph"/>
        <w:numPr>
          <w:ilvl w:val="0"/>
          <w:numId w:val="2"/>
        </w:numPr>
        <w:spacing w:after="40" w:before="40"/>
      </w:pPr>
      <w:r>
        <w:rPr>
          <w:rFonts w:ascii="Arial" w:cs="Arial" w:eastAsia="Arial" w:hAnsi="Arial"/>
          <w:sz w:val="22"/>
          <w:szCs w:val="22"/>
        </w:rPr>
        <w:t xml:space="preserve">Platform: Windows 10 and later. Profile type: Settings Catalog.</w:t>
      </w:r>
    </w:p>
    <w:p>
      <w:pPr>
        <w:pStyle w:val="ListParagraph"/>
        <w:numPr>
          <w:ilvl w:val="0"/>
          <w:numId w:val="2"/>
        </w:numPr>
        <w:spacing w:after="40" w:before="40"/>
      </w:pPr>
      <w:r>
        <w:rPr>
          <w:rFonts w:ascii="Arial" w:cs="Arial" w:eastAsia="Arial" w:hAnsi="Arial"/>
          <w:sz w:val="22"/>
          <w:szCs w:val="22"/>
        </w:rPr>
        <w:t xml:space="preserve">Search for Microsoft Edge &gt; URL Blocklist.</w:t>
      </w:r>
    </w:p>
    <w:p>
      <w:pPr>
        <w:pStyle w:val="ListParagraph"/>
        <w:numPr>
          <w:ilvl w:val="0"/>
          <w:numId w:val="2"/>
        </w:numPr>
        <w:spacing w:after="40" w:before="40"/>
      </w:pPr>
      <w:r>
        <w:rPr>
          <w:rFonts w:ascii="Arial" w:cs="Arial" w:eastAsia="Arial" w:hAnsi="Arial"/>
          <w:sz w:val="22"/>
          <w:szCs w:val="22"/>
        </w:rPr>
        <w:t xml:space="preserve">Add each AI domain to the blocklist (same domains as the firewall rules above).</w:t>
      </w:r>
    </w:p>
    <w:p>
      <w:pPr>
        <w:pStyle w:val="ListParagraph"/>
        <w:numPr>
          <w:ilvl w:val="0"/>
          <w:numId w:val="2"/>
        </w:numPr>
        <w:spacing w:after="40" w:before="40"/>
      </w:pPr>
      <w:r>
        <w:rPr>
          <w:rFonts w:ascii="Arial" w:cs="Arial" w:eastAsia="Arial" w:hAnsi="Arial"/>
          <w:sz w:val="22"/>
          <w:szCs w:val="22"/>
        </w:rPr>
        <w:t xml:space="preserve">Assign the profile to All Devices or a specific device group.</w:t>
      </w:r>
    </w:p>
    <w:p>
      <w:pPr>
        <w:spacing w:after="0" w:before="120"/>
      </w:pPr>
      <w:r>
        <w:t xml:space="preserve"/>
      </w:r>
    </w:p>
    <w:p>
      <w:pPr>
        <w:spacing w:after="60" w:before="200"/>
      </w:pPr>
      <w:r>
        <w:rPr>
          <w:rFonts w:ascii="Arial" w:cs="Arial" w:eastAsia="Arial" w:hAnsi="Arial"/>
          <w:b/>
          <w:bCs/>
          <w:color w:val="1B2A4A"/>
          <w:sz w:val="22"/>
          <w:szCs w:val="22"/>
        </w:rPr>
        <w:t xml:space="preserve">Push the Gateway SSL certificate via Intune</w:t>
      </w:r>
    </w:p>
    <w:p>
      <w:pPr>
        <w:spacing w:after="60" w:before="60"/>
      </w:pPr>
      <w:r>
        <w:rPr>
          <w:rFonts w:ascii="Arial" w:cs="Arial" w:eastAsia="Arial" w:hAnsi="Arial"/>
          <w:sz w:val="22"/>
          <w:szCs w:val="22"/>
        </w:rPr>
        <w:t xml:space="preserve">If your Gateway runs with a self-signed certificate, devices will show SSL warnings. Push the certificate as a trusted root to eliminate this.</w:t>
      </w:r>
    </w:p>
    <w:p>
      <w:pPr>
        <w:pStyle w:val="ListParagraph"/>
        <w:numPr>
          <w:ilvl w:val="0"/>
          <w:numId w:val="2"/>
        </w:numPr>
        <w:spacing w:after="40" w:before="40"/>
      </w:pPr>
      <w:r>
        <w:rPr>
          <w:rFonts w:ascii="Arial" w:cs="Arial" w:eastAsia="Arial" w:hAnsi="Arial"/>
          <w:sz w:val="22"/>
          <w:szCs w:val="22"/>
        </w:rPr>
        <w:t xml:space="preserve">Export your Gateway certificate as a .cer file.</w:t>
      </w:r>
    </w:p>
    <w:p>
      <w:pPr>
        <w:pStyle w:val="ListParagraph"/>
        <w:numPr>
          <w:ilvl w:val="0"/>
          <w:numId w:val="2"/>
        </w:numPr>
        <w:spacing w:after="40" w:before="40"/>
      </w:pPr>
      <w:r>
        <w:rPr>
          <w:rFonts w:ascii="Arial" w:cs="Arial" w:eastAsia="Arial" w:hAnsi="Arial"/>
          <w:sz w:val="22"/>
          <w:szCs w:val="22"/>
        </w:rPr>
        <w:t xml:space="preserve">Devices &gt; Configuration Profiles &gt; Create Profile.</w:t>
      </w:r>
    </w:p>
    <w:p>
      <w:pPr>
        <w:pStyle w:val="ListParagraph"/>
        <w:numPr>
          <w:ilvl w:val="0"/>
          <w:numId w:val="2"/>
        </w:numPr>
        <w:spacing w:after="40" w:before="40"/>
      </w:pPr>
      <w:r>
        <w:rPr>
          <w:rFonts w:ascii="Arial" w:cs="Arial" w:eastAsia="Arial" w:hAnsi="Arial"/>
          <w:sz w:val="22"/>
          <w:szCs w:val="22"/>
        </w:rPr>
        <w:t xml:space="preserve">Platform: Windows 10 and later. Profile type: Trusted Certificate.</w:t>
      </w:r>
    </w:p>
    <w:p>
      <w:pPr>
        <w:pStyle w:val="ListParagraph"/>
        <w:numPr>
          <w:ilvl w:val="0"/>
          <w:numId w:val="2"/>
        </w:numPr>
        <w:spacing w:after="40" w:before="40"/>
      </w:pPr>
      <w:r>
        <w:rPr>
          <w:rFonts w:ascii="Arial" w:cs="Arial" w:eastAsia="Arial" w:hAnsi="Arial"/>
          <w:sz w:val="22"/>
          <w:szCs w:val="22"/>
        </w:rPr>
        <w:t xml:space="preserve">Upload the .cer file. Assign to all managed devices.</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Do you need MDM right now?</w:t>
      </w:r>
    </w:p>
    <w:p>
      <w:pPr>
        <w:spacing w:after="60" w:before="60"/>
      </w:pPr>
      <w:r>
        <w:rPr>
          <w:rFonts w:ascii="Arial" w:cs="Arial" w:eastAsia="Arial" w:hAnsi="Arial"/>
          <w:sz w:val="22"/>
          <w:szCs w:val="22"/>
        </w:rPr>
        <w:t xml:space="preserve">MDM is the most complete technical solution but also the most effort to configure. For most municipalities starting their AI governance program, the right sequence is:</w:t>
      </w:r>
    </w:p>
    <w:p>
      <w:pPr>
        <w:spacing w:after="0" w:before="120"/>
      </w:pPr>
      <w:r>
        <w:t xml:space="preserve"/>
      </w:r>
    </w:p>
    <w:p>
      <w:pPr>
        <w:pStyle w:val="ListParagraph"/>
        <w:numPr>
          <w:ilvl w:val="0"/>
          <w:numId w:val="2"/>
        </w:numPr>
        <w:spacing w:after="40" w:before="40"/>
      </w:pPr>
      <w:r>
        <w:rPr>
          <w:rFonts w:ascii="Arial" w:cs="Arial" w:eastAsia="Arial" w:hAnsi="Arial"/>
          <w:sz w:val="22"/>
          <w:szCs w:val="22"/>
        </w:rPr>
        <w:t xml:space="preserve">Deploy the Gateway (done).</w:t>
      </w:r>
    </w:p>
    <w:p>
      <w:pPr>
        <w:pStyle w:val="ListParagraph"/>
        <w:numPr>
          <w:ilvl w:val="0"/>
          <w:numId w:val="2"/>
        </w:numPr>
        <w:spacing w:after="40" w:before="40"/>
      </w:pPr>
      <w:r>
        <w:rPr>
          <w:rFonts w:ascii="Arial" w:cs="Arial" w:eastAsia="Arial" w:hAnsi="Arial"/>
          <w:sz w:val="22"/>
          <w:szCs w:val="22"/>
        </w:rPr>
        <w:t xml:space="preserve">Add firewall rules to block AI domains on the city network (high value, low effort).</w:t>
      </w:r>
    </w:p>
    <w:p>
      <w:pPr>
        <w:pStyle w:val="ListParagraph"/>
        <w:numPr>
          <w:ilvl w:val="0"/>
          <w:numId w:val="2"/>
        </w:numPr>
        <w:spacing w:after="40" w:before="40"/>
      </w:pPr>
      <w:r>
        <w:rPr>
          <w:rFonts w:ascii="Arial" w:cs="Arial" w:eastAsia="Arial" w:hAnsi="Arial"/>
          <w:sz w:val="22"/>
          <w:szCs w:val="22"/>
        </w:rPr>
        <w:t xml:space="preserve">Publish an acceptable use policy (required regardless of technical controls).</w:t>
      </w:r>
    </w:p>
    <w:p>
      <w:pPr>
        <w:pStyle w:val="ListParagraph"/>
        <w:numPr>
          <w:ilvl w:val="0"/>
          <w:numId w:val="2"/>
        </w:numPr>
        <w:spacing w:after="40" w:before="40"/>
      </w:pPr>
      <w:r>
        <w:rPr>
          <w:rFonts w:ascii="Arial" w:cs="Arial" w:eastAsia="Arial" w:hAnsi="Arial"/>
          <w:sz w:val="22"/>
          <w:szCs w:val="22"/>
        </w:rPr>
        <w:t xml:space="preserve">Consider MDM in year two if remote work or off-network device use is significant.</w:t>
      </w:r>
    </w:p>
    <w:p>
      <w:pPr>
        <w:spacing w:after="0" w:before="120"/>
      </w:pPr>
      <w:r>
        <w:t xml:space="preserve"/>
      </w:r>
    </w:p>
    <w:p>
      <w:pPr>
        <w:pStyle w:val="Heading1"/>
        <w:pBdr>
          <w:bottom w:val="single" w:color="C9A84C" w:sz="4" w:space="4"/>
        </w:pBdr>
        <w:spacing w:after="120" w:before="360"/>
      </w:pPr>
      <w:r>
        <w:rPr>
          <w:rFonts w:ascii="Arial" w:cs="Arial" w:eastAsia="Arial" w:hAnsi="Arial"/>
          <w:b/>
          <w:bCs/>
          <w:color w:val="1B2A4A"/>
          <w:sz w:val="28"/>
          <w:szCs w:val="28"/>
        </w:rPr>
        <w:t xml:space="preserve">Layer 3: Microsoft 365 Copilot</w:t>
      </w:r>
    </w:p>
    <w:p>
      <w:pPr>
        <w:spacing w:after="60" w:before="60"/>
      </w:pPr>
      <w:r>
        <w:rPr>
          <w:rFonts w:ascii="Arial" w:cs="Arial" w:eastAsia="Arial" w:hAnsi="Arial"/>
          <w:sz w:val="22"/>
          <w:szCs w:val="22"/>
        </w:rPr>
        <w:t xml:space="preserve">Microsoft 365 Copilot is a special case. It is embedded directly in Word, Excel, Outlook, and Teams. It does not make external API calls that your Gateway can intercept -- it runs inside Microsoft's cloud tenancy, inside your existing M365 subscription.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6" w:val="clear"/>
            <w:tcMar>
              <w:top w:type="dxa" w:w="120"/>
              <w:left w:type="dxa" w:w="200"/>
              <w:bottom w:type="dxa" w:w="120"/>
              <w:right w:type="dxa" w:w="200"/>
            </w:tcMar>
          </w:tcPr>
          <w:p>
            <w:pPr>
              <w:spacing w:after="0" w:before="0"/>
            </w:pPr>
            <w:r>
              <w:rPr>
                <w:rFonts w:ascii="Arial" w:cs="Arial" w:eastAsia="Arial" w:hAnsi="Arial"/>
                <w:i/>
                <w:iCs/>
                <w:color w:val="1B2A4A"/>
                <w:sz w:val="22"/>
                <w:szCs w:val="22"/>
              </w:rPr>
              <w:t xml:space="preserve">The Municipal AI Gateway does not govern Microsoft 365 Copilot. If your municipality has Copilot licenses, it must be governed separately through Microsoft's own controls.</w:t>
            </w:r>
          </w:p>
        </w:tc>
      </w:tr>
    </w:tbl>
    <w:p>
      <w:pPr>
        <w:spacing w:after="0" w:before="120"/>
      </w:pPr>
      <w:r>
        <w:t xml:space="preserve"/>
      </w:r>
    </w:p>
    <w:p>
      <w:pPr>
        <w:pStyle w:val="Heading2"/>
        <w:spacing w:after="80" w:before="280"/>
      </w:pPr>
      <w:r>
        <w:rPr>
          <w:rFonts w:ascii="Arial" w:cs="Arial" w:eastAsia="Arial" w:hAnsi="Arial"/>
          <w:b/>
          <w:bCs/>
          <w:color w:val="1B2A4A"/>
          <w:sz w:val="24"/>
          <w:szCs w:val="24"/>
        </w:rPr>
        <w:t xml:space="preserve">How to govern Copilot in your M365 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Where to configure 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or disable Copilot for specific users or groups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365 admin centre &gt; Users &gt; Active Users &gt; Licenses</w:t>
            </w:r>
          </w:p>
        </w:tc>
      </w:tr>
      <w:tr>
        <w:tc>
          <w:tcPr>
            <w:tcW w:type="dxa" w:w="4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val="false"/>
                <w:bCs w:val="false"/>
                <w:sz w:val="20"/>
                <w:szCs w:val="20"/>
              </w:rPr>
              <w:t xml:space="preserve">Restrict what data Copilot can access</w:t>
            </w:r>
          </w:p>
        </w:tc>
        <w:tc>
          <w:tcPr>
            <w:tcW w:type="dxa" w:w="5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Microsoft Purview &gt; Information Protection &gt; Sensitivity Labels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Copilot interactions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Purview &gt; Audit &gt; Search -- Copilot interactions are logged here</w:t>
            </w:r>
          </w:p>
        </w:tc>
      </w:tr>
      <w:tr>
        <w:tc>
          <w:tcPr>
            <w:tcW w:type="dxa" w:w="40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val="false"/>
                <w:bCs w:val="false"/>
                <w:sz w:val="20"/>
                <w:szCs w:val="20"/>
              </w:rPr>
              <w:t xml:space="preserve">Restrict Copilot to approved data sources only</w:t>
            </w:r>
          </w:p>
        </w:tc>
        <w:tc>
          <w:tcPr>
            <w:tcW w:type="dxa" w:w="5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Microsoft 365 admin centre &gt; Copilot &gt; Settings &gt; Data Access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Disable Copilot entirely pending governance approval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Copilot license from all users until governance policy is approved by council</w:t>
            </w:r>
          </w:p>
        </w:tc>
      </w:tr>
    </w:tbl>
    <w:p>
      <w:pPr>
        <w:spacing w:after="0" w:before="120"/>
      </w:pPr>
      <w:r>
        <w:t xml:space="preserve"/>
      </w:r>
    </w:p>
    <w:p>
      <w:pPr>
        <w:spacing w:after="60" w:before="60"/>
      </w:pPr>
      <w:r>
        <w:rPr>
          <w:rFonts w:ascii="Arial" w:cs="Arial" w:eastAsia="Arial" w:hAnsi="Arial"/>
          <w:sz w:val="22"/>
          <w:szCs w:val="22"/>
        </w:rPr>
        <w:t xml:space="preserve">Governing Copilot is a policy decision that belongs in LUMINARYX. The question of whether to approve Copilot for staff use, under what conditions, and with what documentation, is exactly the kind of AI governance decision that needs an approval workflow, council visibility, and an audit trail.</w:t>
      </w:r>
    </w:p>
    <w:p>
      <w:pPr>
        <w:spacing w:after="0" w:before="120"/>
      </w:pPr>
      <w:r>
        <w:t xml:space="preserve"/>
      </w:r>
    </w:p>
    <w:p>
      <w:pPr>
        <w:pStyle w:val="Heading1"/>
        <w:pBdr>
          <w:bottom w:val="single" w:color="C9A84C" w:sz="4" w:space="4"/>
        </w:pBdr>
        <w:spacing w:after="120" w:before="360"/>
      </w:pPr>
      <w:r>
        <w:rPr>
          <w:rFonts w:ascii="Arial" w:cs="Arial" w:eastAsia="Arial" w:hAnsi="Arial"/>
          <w:b/>
          <w:bCs/>
          <w:color w:val="1B2A4A"/>
          <w:sz w:val="28"/>
          <w:szCs w:val="28"/>
        </w:rPr>
        <w:t xml:space="preserve">Layer 4: Acceptable Use Policy</w:t>
      </w:r>
    </w:p>
    <w:p>
      <w:pPr>
        <w:spacing w:after="60" w:before="60"/>
      </w:pPr>
      <w:r>
        <w:rPr>
          <w:rFonts w:ascii="Arial" w:cs="Arial" w:eastAsia="Arial" w:hAnsi="Arial"/>
          <w:sz w:val="22"/>
          <w:szCs w:val="22"/>
        </w:rPr>
        <w:t xml:space="preserve">No technical control reaches a personal device on a personal data connection. The policy layer is what closes this gap and creates accountability for every other scenario technical controls miss.</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What the policy must cover</w:t>
      </w:r>
    </w:p>
    <w:p>
      <w:pPr>
        <w:pStyle w:val="ListParagraph"/>
        <w:numPr>
          <w:ilvl w:val="0"/>
          <w:numId w:val="3"/>
        </w:numPr>
        <w:spacing w:after="40" w:before="40"/>
      </w:pPr>
      <w:r>
        <w:rPr>
          <w:rFonts w:ascii="Arial" w:cs="Arial" w:eastAsia="Arial" w:hAnsi="Arial"/>
          <w:sz w:val="22"/>
          <w:szCs w:val="22"/>
        </w:rPr>
        <w:t xml:space="preserve">Definition of approved AI tools (those routed through the Gateway).</w:t>
      </w:r>
    </w:p>
    <w:p>
      <w:pPr>
        <w:pStyle w:val="ListParagraph"/>
        <w:numPr>
          <w:ilvl w:val="0"/>
          <w:numId w:val="3"/>
        </w:numPr>
        <w:spacing w:after="40" w:before="40"/>
      </w:pPr>
      <w:r>
        <w:rPr>
          <w:rFonts w:ascii="Arial" w:cs="Arial" w:eastAsia="Arial" w:hAnsi="Arial"/>
          <w:sz w:val="22"/>
          <w:szCs w:val="22"/>
        </w:rPr>
        <w:t xml:space="preserve">Prohibition on using personal AI accounts for work purposes, on any device or network.</w:t>
      </w:r>
    </w:p>
    <w:p>
      <w:pPr>
        <w:pStyle w:val="ListParagraph"/>
        <w:numPr>
          <w:ilvl w:val="0"/>
          <w:numId w:val="3"/>
        </w:numPr>
        <w:spacing w:after="40" w:before="40"/>
      </w:pPr>
      <w:r>
        <w:rPr>
          <w:rFonts w:ascii="Arial" w:cs="Arial" w:eastAsia="Arial" w:hAnsi="Arial"/>
          <w:sz w:val="22"/>
          <w:szCs w:val="22"/>
        </w:rPr>
        <w:t xml:space="preserve">Data classification -- what categories of information may never be entered into any AI tool, even through the Gateway.</w:t>
      </w:r>
    </w:p>
    <w:p>
      <w:pPr>
        <w:pStyle w:val="ListParagraph"/>
        <w:numPr>
          <w:ilvl w:val="0"/>
          <w:numId w:val="3"/>
        </w:numPr>
        <w:spacing w:after="40" w:before="40"/>
      </w:pPr>
      <w:r>
        <w:rPr>
          <w:rFonts w:ascii="Arial" w:cs="Arial" w:eastAsia="Arial" w:hAnsi="Arial"/>
          <w:sz w:val="22"/>
          <w:szCs w:val="22"/>
        </w:rPr>
        <w:t xml:space="preserve">Requirement to report suspected AI-related data incidents to the privacy officer.</w:t>
      </w:r>
    </w:p>
    <w:p>
      <w:pPr>
        <w:pStyle w:val="ListParagraph"/>
        <w:numPr>
          <w:ilvl w:val="0"/>
          <w:numId w:val="3"/>
        </w:numPr>
        <w:spacing w:after="40" w:before="40"/>
      </w:pPr>
      <w:r>
        <w:rPr>
          <w:rFonts w:ascii="Arial" w:cs="Arial" w:eastAsia="Arial" w:hAnsi="Arial"/>
          <w:sz w:val="22"/>
          <w:szCs w:val="22"/>
        </w:rPr>
        <w:t xml:space="preserve">Consequences for policy violations.</w:t>
      </w:r>
    </w:p>
    <w:p>
      <w:pPr>
        <w:pStyle w:val="ListParagraph"/>
        <w:numPr>
          <w:ilvl w:val="0"/>
          <w:numId w:val="3"/>
        </w:numPr>
        <w:spacing w:after="40" w:before="40"/>
      </w:pPr>
      <w:r>
        <w:rPr>
          <w:rFonts w:ascii="Arial" w:cs="Arial" w:eastAsia="Arial" w:hAnsi="Arial"/>
          <w:sz w:val="22"/>
          <w:szCs w:val="22"/>
        </w:rPr>
        <w:t xml:space="preserve">Acknowledgment that AI interactions through the Gateway are logged and auditable.</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Data that must never enter any AI tool</w:t>
      </w:r>
    </w:p>
    <w:p>
      <w:pPr>
        <w:spacing w:after="60" w:before="60"/>
      </w:pPr>
      <w:r>
        <w:rPr>
          <w:rFonts w:ascii="Arial" w:cs="Arial" w:eastAsia="Arial" w:hAnsi="Arial"/>
          <w:sz w:val="22"/>
          <w:szCs w:val="22"/>
        </w:rPr>
        <w:t xml:space="preserve">Even with the Gateway scrubbing PII, staff should understand these categories as a matter of training, not just technical enforcement:</w:t>
      </w:r>
    </w:p>
    <w:p>
      <w:pPr>
        <w:spacing w:after="0" w:before="120"/>
      </w:pPr>
      <w:r>
        <w:t xml:space="preserve"/>
      </w:r>
    </w:p>
    <w:p>
      <w:pPr>
        <w:pStyle w:val="ListParagraph"/>
        <w:numPr>
          <w:ilvl w:val="0"/>
          <w:numId w:val="3"/>
        </w:numPr>
        <w:spacing w:after="40" w:before="40"/>
      </w:pPr>
      <w:r>
        <w:rPr>
          <w:rFonts w:ascii="Arial" w:cs="Arial" w:eastAsia="Arial" w:hAnsi="Arial"/>
          <w:sz w:val="22"/>
          <w:szCs w:val="22"/>
        </w:rPr>
        <w:t xml:space="preserve">Social Insurance Numbers or financial account information of any resident.</w:t>
      </w:r>
    </w:p>
    <w:p>
      <w:pPr>
        <w:pStyle w:val="ListParagraph"/>
        <w:numPr>
          <w:ilvl w:val="0"/>
          <w:numId w:val="3"/>
        </w:numPr>
        <w:spacing w:after="40" w:before="40"/>
      </w:pPr>
      <w:r>
        <w:rPr>
          <w:rFonts w:ascii="Arial" w:cs="Arial" w:eastAsia="Arial" w:hAnsi="Arial"/>
          <w:sz w:val="22"/>
          <w:szCs w:val="22"/>
        </w:rPr>
        <w:t xml:space="preserve">Personal health information of any kind.</w:t>
      </w:r>
    </w:p>
    <w:p>
      <w:pPr>
        <w:pStyle w:val="ListParagraph"/>
        <w:numPr>
          <w:ilvl w:val="0"/>
          <w:numId w:val="3"/>
        </w:numPr>
        <w:spacing w:after="40" w:before="40"/>
      </w:pPr>
      <w:r>
        <w:rPr>
          <w:rFonts w:ascii="Arial" w:cs="Arial" w:eastAsia="Arial" w:hAnsi="Arial"/>
          <w:sz w:val="22"/>
          <w:szCs w:val="22"/>
        </w:rPr>
        <w:t xml:space="preserve">Information related to active bylaw enforcement, investigations, or legal proceedings.</w:t>
      </w:r>
    </w:p>
    <w:p>
      <w:pPr>
        <w:pStyle w:val="ListParagraph"/>
        <w:numPr>
          <w:ilvl w:val="0"/>
          <w:numId w:val="3"/>
        </w:numPr>
        <w:spacing w:after="40" w:before="40"/>
      </w:pPr>
      <w:r>
        <w:rPr>
          <w:rFonts w:ascii="Arial" w:cs="Arial" w:eastAsia="Arial" w:hAnsi="Arial"/>
          <w:sz w:val="22"/>
          <w:szCs w:val="22"/>
        </w:rPr>
        <w:t xml:space="preserve">Personal information from any individual who has not consented to AI processing.</w:t>
      </w:r>
    </w:p>
    <w:p>
      <w:pPr>
        <w:pStyle w:val="ListParagraph"/>
        <w:numPr>
          <w:ilvl w:val="0"/>
          <w:numId w:val="3"/>
        </w:numPr>
        <w:spacing w:after="40" w:before="40"/>
      </w:pPr>
      <w:r>
        <w:rPr>
          <w:rFonts w:ascii="Arial" w:cs="Arial" w:eastAsia="Arial" w:hAnsi="Arial"/>
          <w:sz w:val="22"/>
          <w:szCs w:val="22"/>
        </w:rPr>
        <w:t xml:space="preserve">Confidential council deliberation content prior to public release.</w:t>
      </w:r>
    </w:p>
    <w:p>
      <w:pPr>
        <w:spacing w:after="0" w:before="120"/>
      </w:pPr>
      <w:r>
        <w:t xml:space="preserve"/>
      </w:r>
    </w:p>
    <w:p>
      <w:pPr>
        <w:pStyle w:val="Heading2"/>
        <w:spacing w:after="80" w:before="280"/>
      </w:pPr>
      <w:r>
        <w:rPr>
          <w:rFonts w:ascii="Arial" w:cs="Arial" w:eastAsia="Arial" w:hAnsi="Arial"/>
          <w:b/>
          <w:bCs/>
          <w:color w:val="1B2A4A"/>
          <w:sz w:val="24"/>
          <w:szCs w:val="24"/>
        </w:rPr>
        <w:t xml:space="preserve">Where this policy decision gets made</w:t>
      </w:r>
    </w:p>
    <w:p>
      <w:pPr>
        <w:spacing w:after="60" w:before="60"/>
      </w:pPr>
      <w:r>
        <w:rPr>
          <w:rFonts w:ascii="Arial" w:cs="Arial" w:eastAsia="Arial" w:hAnsi="Arial"/>
          <w:sz w:val="22"/>
          <w:szCs w:val="22"/>
        </w:rPr>
        <w:t xml:space="preserve">Approving an acceptable use policy for AI is a governance decision. It should be documented in LUMINARYX as a formal AI governance decision, linked to your applicable regulatory framework (BC FIPPA, FOIPP, MFIPPA, or Law 25 depending on your province), and recorded with an audit trail that shows council was informed.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20"/>
              <w:left w:type="dxa" w:w="200"/>
              <w:bottom w:type="dxa" w:w="120"/>
              <w:right w:type="dxa" w:w="200"/>
            </w:tcMar>
          </w:tcPr>
          <w:p>
            <w:pPr>
              <w:spacing w:after="0" w:before="0"/>
            </w:pPr>
            <w:r>
              <w:rPr>
                <w:rFonts w:ascii="Arial" w:cs="Arial" w:eastAsia="Arial" w:hAnsi="Arial"/>
                <w:i/>
                <w:iCs/>
                <w:color w:val="1B2A4A"/>
                <w:sz w:val="22"/>
                <w:szCs w:val="22"/>
              </w:rPr>
              <w:t xml:space="preserve">An acceptable use policy that exists in a Word document in someone's email is not defensible. A policy that was reviewed against your provincial privacy framework, approved through a documented workflow, and logged in an audit trail is.</w:t>
            </w:r>
          </w:p>
        </w:tc>
      </w:tr>
    </w:tbl>
    <w:p>
      <w:pPr>
        <w:spacing w:after="0" w:before="120"/>
      </w:pPr>
      <w:r>
        <w:t xml:space="preserve"/>
      </w:r>
    </w:p>
    <w:p>
      <w:pPr>
        <w:pStyle w:val="Heading1"/>
        <w:pBdr>
          <w:bottom w:val="single" w:color="C9A84C" w:sz="4" w:space="4"/>
        </w:pBdr>
        <w:spacing w:after="120" w:before="360"/>
      </w:pPr>
      <w:r>
        <w:rPr>
          <w:rFonts w:ascii="Arial" w:cs="Arial" w:eastAsia="Arial" w:hAnsi="Arial"/>
          <w:b/>
          <w:bCs/>
          <w:color w:val="1B2A4A"/>
          <w:sz w:val="28"/>
          <w:szCs w:val="28"/>
        </w:rPr>
        <w:t xml:space="preserve">The Complete Picture</w:t>
      </w:r>
    </w:p>
    <w:p>
      <w:pPr>
        <w:spacing w:after="60" w:before="60"/>
      </w:pPr>
      <w:r>
        <w:rPr>
          <w:rFonts w:ascii="Arial" w:cs="Arial" w:eastAsia="Arial" w:hAnsi="Arial"/>
          <w:sz w:val="22"/>
          <w:szCs w:val="22"/>
        </w:rPr>
        <w:t xml:space="preserve">When all four layers are in place, your municipality has a defensible answer to every question a privacy commissioner, auditor, or concerned councillor might ask.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Covered By</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 Without This Guide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uses API-based AI tool routed through Gateway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Municipal AI Gateway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Covered on day one</w:t>
            </w:r>
          </w:p>
        </w:tc>
      </w:tr>
      <w:tr>
        <w:tc>
          <w:tcPr>
            <w:tcW w:type="dxa" w:w="3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Staff opens ChatGPT in browser on city wifi</w:t>
            </w:r>
          </w:p>
        </w:tc>
        <w:tc>
          <w:tcPr>
            <w:tcW w:type="dxa" w:w="2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Firewall rules (Layer 1)</w:t>
            </w:r>
          </w:p>
        </w:tc>
        <w:tc>
          <w:tcPr>
            <w:tcW w:type="dxa" w:w="35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Undetected without firewall rules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uses AI on personal phone on city wifi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Firewall rules (Layer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Undetected without firewall rules</w:t>
            </w:r>
          </w:p>
        </w:tc>
      </w:tr>
      <w:tr>
        <w:tc>
          <w:tcPr>
            <w:tcW w:type="dxa" w:w="3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Staff uses AI on city laptop working from home</w:t>
            </w:r>
          </w:p>
        </w:tc>
        <w:tc>
          <w:tcPr>
            <w:tcW w:type="dxa" w:w="2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MDM policy (Layer 2)</w:t>
            </w:r>
          </w:p>
        </w:tc>
        <w:tc>
          <w:tcPr>
            <w:tcW w:type="dxa" w:w="35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Undetected without MDM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uses Microsoft 365 Copilot in Word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M365 Copilot controls (Layer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Undetected without M365 governance</w:t>
            </w:r>
          </w:p>
        </w:tc>
      </w:tr>
      <w:tr>
        <w:tc>
          <w:tcPr>
            <w:tcW w:type="dxa" w:w="3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Staff uses personal AI account on personal phone</w:t>
            </w:r>
          </w:p>
        </w:tc>
        <w:tc>
          <w:tcPr>
            <w:tcW w:type="dxa" w:w="2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Acceptable use policy (Layer 4)</w:t>
            </w:r>
          </w:p>
        </w:tc>
        <w:tc>
          <w:tcPr>
            <w:tcW w:type="dxa" w:w="35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Policy violation -- HR matter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 decisions documented for council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LUMINARYX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audit trail without LUMINARYX</w:t>
            </w:r>
          </w:p>
        </w:tc>
      </w:tr>
    </w:tbl>
    <w:p>
      <w:pPr>
        <w:spacing w:after="0" w:before="120"/>
      </w:pPr>
      <w:r>
        <w:t xml:space="preserve"/>
      </w:r>
    </w:p>
    <w:p>
      <w:pPr>
        <w:pStyle w:val="Heading2"/>
        <w:spacing w:after="80" w:before="280"/>
      </w:pPr>
      <w:r>
        <w:rPr>
          <w:rFonts w:ascii="Arial" w:cs="Arial" w:eastAsia="Arial" w:hAnsi="Arial"/>
          <w:b/>
          <w:bCs/>
          <w:color w:val="1B2A4A"/>
          <w:sz w:val="24"/>
          <w:szCs w:val="24"/>
        </w:rPr>
        <w:t xml:space="preserve">The LUMINARYX connection</w:t>
      </w:r>
    </w:p>
    <w:p>
      <w:pPr>
        <w:spacing w:after="60" w:before="60"/>
      </w:pPr>
      <w:r>
        <w:rPr>
          <w:rFonts w:ascii="Arial" w:cs="Arial" w:eastAsia="Arial" w:hAnsi="Arial"/>
          <w:sz w:val="22"/>
          <w:szCs w:val="22"/>
        </w:rPr>
        <w:t xml:space="preserve">The four technical and policy layers above address enforcement. LUMINARYX addresses governance -- the documented decisions behind the enforcement choices. Why did you choose these firewall rules? What regulatory framework required this acceptable use policy? Which council motion approved Copilot or prohibited it? Who reviewed and signed off?</w:t>
      </w:r>
    </w:p>
    <w:p>
      <w:pPr>
        <w:spacing w:after="0" w:before="120"/>
      </w:pPr>
      <w:r>
        <w:t xml:space="preserve"/>
      </w:r>
    </w:p>
    <w:p>
      <w:pPr>
        <w:spacing w:after="60" w:before="60"/>
      </w:pPr>
      <w:r>
        <w:rPr>
          <w:rFonts w:ascii="Arial" w:cs="Arial" w:eastAsia="Arial" w:hAnsi="Arial"/>
          <w:sz w:val="22"/>
          <w:szCs w:val="22"/>
        </w:rPr>
        <w:t xml:space="preserve">Enforcement without governance is fragile. A privacy commissioner does not just ask what you did -- they ask why you decided to do it and how you can prove it was a considered, informed decision. That is what LUMINARYX provides.</w:t>
      </w:r>
    </w:p>
    <w:p>
      <w:pPr>
        <w:spacing w:after="0" w:before="120"/>
      </w:pPr>
      <w:r>
        <w:t xml:space="preserve"/>
      </w:r>
    </w:p>
    <w:p>
      <w:pPr>
        <w:pStyle w:val="Heading1"/>
        <w:pBdr>
          <w:bottom w:val="single" w:color="C9A84C" w:sz="4" w:space="4"/>
        </w:pBdr>
        <w:spacing w:after="120" w:before="360"/>
      </w:pPr>
      <w:r>
        <w:rPr>
          <w:rFonts w:ascii="Arial" w:cs="Arial" w:eastAsia="Arial" w:hAnsi="Arial"/>
          <w:b/>
          <w:bCs/>
          <w:color w:val="1B2A4A"/>
          <w:sz w:val="28"/>
          <w:szCs w:val="28"/>
        </w:rPr>
        <w:t xml:space="preserve">Implementation Checklist</w:t>
      </w:r>
    </w:p>
    <w:p>
      <w:pPr>
        <w:spacing w:after="60" w:before="60"/>
      </w:pPr>
      <w:r>
        <w:rPr>
          <w:rFonts w:ascii="Arial" w:cs="Arial" w:eastAsia="Arial" w:hAnsi="Arial"/>
          <w:sz w:val="22"/>
          <w:szCs w:val="22"/>
        </w:rPr>
        <w:t xml:space="preserve">Use this checklist to track your municipality's progress toward complete AI governance.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Municipal AI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hours</w:t>
            </w:r>
          </w:p>
        </w:tc>
      </w:tr>
      <w:tr>
        <w:tc>
          <w:tcPr>
            <w:tcW w:type="dxa" w:w="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Create department API keys and brief staff</w:t>
            </w:r>
          </w:p>
        </w:tc>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Half day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firewall rules blocking AI provider domains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Half day</w:t>
            </w:r>
          </w:p>
        </w:tc>
      </w:tr>
      <w:tr>
        <w:tc>
          <w:tcPr>
            <w:tcW w:type="dxa" w:w="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Send staff communication about network changes</w:t>
            </w:r>
          </w:p>
        </w:tc>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1 hour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acceptable use policy for AI 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Get policy reviewed by privacy officer or legal counsel</w:t>
            </w:r>
          </w:p>
        </w:tc>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1-2 weeks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AI governance program to CAO and council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Agenda item</w:t>
            </w:r>
          </w:p>
        </w:tc>
      </w:tr>
      <w:tr>
        <w:tc>
          <w:tcPr>
            <w:tcW w:type="dxa" w:w="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Document all decisions in LUMINARYX with regulatory linkage</w:t>
            </w:r>
          </w:p>
        </w:tc>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Ongoing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Copilot licensing and configure M365 governance controls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days</w:t>
            </w:r>
          </w:p>
        </w:tc>
      </w:tr>
      <w:tr>
        <w:tc>
          <w:tcPr>
            <w:tcW w:type="dxa" w:w="6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10</w:t>
            </w:r>
          </w:p>
        </w:tc>
        <w:tc>
          <w:tcPr>
            <w:tcW w:type="dxa" w:w="636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Assess MDM deployment if significant remote work exists</w:t>
            </w:r>
          </w:p>
        </w:tc>
        <w:tc>
          <w:tcPr>
            <w:tcW w:type="dxa" w:w="24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sz w:val="20"/>
                <w:szCs w:val="20"/>
              </w:rPr>
              <w:t xml:space="preserve">1-4 weeks</w:t>
            </w:r>
          </w:p>
        </w:tc>
      </w:tr>
    </w:tbl>
    <w:p>
      <w:pPr>
        <w:spacing w:after="0" w:before="120"/>
      </w:pPr>
      <w:r>
        <w:t xml:space="preserve"/>
      </w:r>
    </w:p>
    <w:p>
      <w:pPr>
        <w:pBdr>
          <w:top w:val="single" w:color="C9A84C" w:sz="4" w:space="4"/>
        </w:pBdr>
        <w:spacing w:after="0" w:before="360"/>
      </w:pPr>
      <w:r>
        <w:rPr>
          <w:sz w:val="22"/>
          <w:szCs w:val="22"/>
        </w:rPr>
        <w:t xml:space="preserve"/>
      </w:r>
    </w:p>
    <w:p>
      <w:pPr>
        <w:spacing w:after="40" w:before="120"/>
        <w:jc w:val="center"/>
      </w:pPr>
      <w:r>
        <w:rPr>
          <w:rFonts w:ascii="Arial" w:cs="Arial" w:eastAsia="Arial" w:hAnsi="Arial"/>
          <w:b/>
          <w:bCs/>
          <w:color w:val="1B2A4A"/>
          <w:sz w:val="22"/>
          <w:szCs w:val="22"/>
        </w:rPr>
        <w:t xml:space="preserve">Municipal AI Gateway</w:t>
      </w:r>
    </w:p>
    <w:p>
      <w:pPr>
        <w:spacing w:after="40" w:before="0"/>
        <w:jc w:val="center"/>
      </w:pPr>
      <w:r>
        <w:rPr>
          <w:rFonts w:ascii="Arial" w:cs="Arial" w:eastAsia="Arial" w:hAnsi="Arial"/>
          <w:color w:val="666666"/>
          <w:sz w:val="20"/>
          <w:szCs w:val="20"/>
        </w:rPr>
        <w:t xml:space="preserve">github.com/LuminarAiConsultancy/municipal-ai-gateway</w:t>
      </w:r>
    </w:p>
    <w:p>
      <w:pPr>
        <w:spacing w:after="40" w:before="0"/>
        <w:jc w:val="center"/>
      </w:pPr>
      <w:r>
        <w:rPr>
          <w:rFonts w:ascii="Arial" w:cs="Arial" w:eastAsia="Arial" w:hAnsi="Arial"/>
          <w:color w:val="666666"/>
          <w:sz w:val="20"/>
          <w:szCs w:val="20"/>
        </w:rPr>
        <w:t xml:space="preserve">LUMINARYX Governance Platform: luminaryx.ca</w:t>
      </w:r>
    </w:p>
    <w:p>
      <w:pPr>
        <w:spacing w:after="0" w:before="0"/>
        <w:jc w:val="center"/>
      </w:pPr>
      <w:r>
        <w:rPr>
          <w:rFonts w:ascii="Arial" w:cs="Arial" w:eastAsia="Arial" w:hAnsi="Arial"/>
          <w:color w:val="666666"/>
          <w:sz w:val="20"/>
          <w:szCs w:val="20"/>
        </w:rPr>
        <w:t xml:space="preserve">License: MIT -- free to use, deploy, and modify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120"/>
      <w:jc w:val="center"/>
    </w:pPr>
    <w:r>
      <w:rPr>
        <w:rFonts w:ascii="Arial" w:cs="Arial" w:eastAsia="Arial" w:hAnsi="Arial"/>
        <w:color w:val="888888"/>
        <w:sz w:val="18"/>
        <w:szCs w:val="18"/>
      </w:rPr>
      <w:t xml:space="preserve">Powered by LUMINARYX  |  Defensible Technology Decisions  |  luminaryx.ca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2026-04-02T21:49:14.668Z</dcterms:created>
  <dcterms:modified xsi:type="dcterms:W3CDTF">2026-04-02T21:49:14.668Z</dcterms:modified>
</cp:coreProperties>
</file>

<file path=docProps/custom.xml><?xml version="1.0" encoding="utf-8"?>
<Properties xmlns="http://schemas.openxmlformats.org/officeDocument/2006/custom-properties" xmlns:vt="http://schemas.openxmlformats.org/officeDocument/2006/docPropsVTypes"/>
</file>