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AQF-01</w:t>
      </w:r>
    </w:p>
    <w:p>
      <w:pPr>
        <w:spacing w:after="120"/>
        <w:jc w:val="center"/>
      </w:pPr>
      <w:r>
        <w:rPr>
          <w:b/>
          <w:bCs/>
          <w:color w:val="0B2233"/>
          <w:sz w:val="40"/>
          <w:szCs w:val="40"/>
        </w:rPr>
        <w:t xml:space="preserve">Project Charter and Team Roles</w:t>
      </w:r>
    </w:p>
    <w:p>
      <w:pPr>
        <w:spacing w:after="400"/>
        <w:jc w:val="center"/>
      </w:pPr>
      <w:r>
        <w:rPr>
          <w:color w:val="5A6672"/>
          <w:sz w:val="22"/>
          <w:szCs w:val="22"/>
        </w:rPr>
        <w:t xml:space="preserve">Scope, governance, role allocation and ways of working</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AQF-01 Project Charter and Team Roles</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Establish what the team is building, who owns what, and how work is governed. Every other document depends on the scope and roles fixed here.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Project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Item</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Product name</w:t>
            </w:r>
          </w:p>
        </w:tc>
        <w:tc>
          <w:tcPr>
            <w:tcW w:type="dxa" w:w="6926"/>
            <w:tcMar>
              <w:top w:type="dxa" w:w="55"/>
              <w:left w:type="dxa" w:w="90"/>
              <w:bottom w:type="dxa" w:w="55"/>
              <w:right w:type="dxa" w:w="90"/>
            </w:tcMar>
          </w:tcPr>
          <w:p>
            <w:r>
              <w:rPr>
                <w:b w:val="false"/>
                <w:bCs w:val="false"/>
                <w:color w:val="000000"/>
                <w:sz w:val="18"/>
                <w:szCs w:val="18"/>
              </w:rPr>
              <w:t xml:space="preserve">AquaZeroFit</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Brand</w:t>
            </w:r>
          </w:p>
        </w:tc>
        <w:tc>
          <w:tcPr>
            <w:tcW w:type="dxa" w:w="6926"/>
            <w:shd w:fill="F4FAFC" w:val="clear"/>
            <w:tcMar>
              <w:top w:type="dxa" w:w="55"/>
              <w:left w:type="dxa" w:w="90"/>
              <w:bottom w:type="dxa" w:w="55"/>
              <w:right w:type="dxa" w:w="90"/>
            </w:tcMar>
          </w:tcPr>
          <w:p>
            <w:r>
              <w:rPr>
                <w:b w:val="false"/>
                <w:bCs w:val="false"/>
                <w:color w:val="000000"/>
                <w:sz w:val="18"/>
                <w:szCs w:val="18"/>
              </w:rPr>
              <w:t xml:space="preserve">AquaZero</w:t>
            </w:r>
          </w:p>
        </w:tc>
      </w:tr>
      <w:tr>
        <w:tc>
          <w:tcPr>
            <w:tcW w:type="dxa" w:w="2100"/>
            <w:tcMar>
              <w:top w:type="dxa" w:w="55"/>
              <w:left w:type="dxa" w:w="90"/>
              <w:bottom w:type="dxa" w:w="55"/>
              <w:right w:type="dxa" w:w="90"/>
            </w:tcMar>
          </w:tcPr>
          <w:p>
            <w:r>
              <w:rPr>
                <w:b w:val="false"/>
                <w:bCs w:val="false"/>
                <w:color w:val="000000"/>
                <w:sz w:val="18"/>
                <w:szCs w:val="18"/>
              </w:rPr>
              <w:t xml:space="preserve">Unit</w:t>
            </w:r>
          </w:p>
        </w:tc>
        <w:tc>
          <w:tcPr>
            <w:tcW w:type="dxa" w:w="6926"/>
            <w:tcMar>
              <w:top w:type="dxa" w:w="55"/>
              <w:left w:type="dxa" w:w="90"/>
              <w:bottom w:type="dxa" w:w="55"/>
              <w:right w:type="dxa" w:w="90"/>
            </w:tcMar>
          </w:tcPr>
          <w:p>
            <w:r>
              <w:rPr>
                <w:b w:val="false"/>
                <w:bCs w:val="false"/>
                <w:color w:val="000000"/>
                <w:sz w:val="18"/>
                <w:szCs w:val="18"/>
              </w:rPr>
              <w:t xml:space="preserve">NIT3003 IT Capstone Project, Project 5</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Institution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Victoria University, Melbourne, Australia</w:t>
            </w:r>
          </w:p>
        </w:tc>
      </w:tr>
      <w:tr>
        <w:tc>
          <w:tcPr>
            <w:tcW w:type="dxa" w:w="2100"/>
            <w:tcMar>
              <w:top w:type="dxa" w:w="55"/>
              <w:left w:type="dxa" w:w="90"/>
              <w:bottom w:type="dxa" w:w="55"/>
              <w:right w:type="dxa" w:w="90"/>
            </w:tcMar>
          </w:tcPr>
          <w:p>
            <w:r>
              <w:rPr>
                <w:b w:val="false"/>
                <w:bCs w:val="false"/>
                <w:color w:val="000000"/>
                <w:sz w:val="18"/>
                <w:szCs w:val="18"/>
              </w:rPr>
              <w:t xml:space="preserve">Group</w:t>
            </w:r>
          </w:p>
        </w:tc>
        <w:tc>
          <w:tcPr>
            <w:tcW w:type="dxa" w:w="6926"/>
            <w:tcMar>
              <w:top w:type="dxa" w:w="55"/>
              <w:left w:type="dxa" w:w="90"/>
              <w:bottom w:type="dxa" w:w="55"/>
              <w:right w:type="dxa" w:w="90"/>
            </w:tcMar>
          </w:tcPr>
          <w:p>
            <w:r>
              <w:rPr>
                <w:b w:val="false"/>
                <w:bCs w:val="false"/>
                <w:color w:val="000000"/>
                <w:sz w:val="18"/>
                <w:szCs w:val="18"/>
              </w:rPr>
              <w:t xml:space="preserve">Group 15</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Product statement</w:t>
            </w:r>
          </w:p>
        </w:tc>
        <w:tc>
          <w:tcPr>
            <w:tcW w:type="dxa" w:w="6926"/>
            <w:shd w:fill="F4FAFC" w:val="clear"/>
            <w:tcMar>
              <w:top w:type="dxa" w:w="55"/>
              <w:left w:type="dxa" w:w="90"/>
              <w:bottom w:type="dxa" w:w="55"/>
              <w:right w:type="dxa" w:w="90"/>
            </w:tcMar>
          </w:tcPr>
          <w:p>
            <w:r>
              <w:rPr>
                <w:b w:val="false"/>
                <w:bCs w:val="false"/>
                <w:color w:val="000000"/>
                <w:sz w:val="18"/>
                <w:szCs w:val="18"/>
              </w:rPr>
              <w:t xml:space="preserve">An AI-powered wellness platform for nutrition monitoring, weight-loss goal management and personalised home training, delivered to the web and to Telegram from a single codebase</w:t>
            </w:r>
          </w:p>
        </w:tc>
      </w:tr>
      <w:tr>
        <w:tc>
          <w:tcPr>
            <w:tcW w:type="dxa" w:w="2100"/>
            <w:tcMar>
              <w:top w:type="dxa" w:w="55"/>
              <w:left w:type="dxa" w:w="90"/>
              <w:bottom w:type="dxa" w:w="55"/>
              <w:right w:type="dxa" w:w="90"/>
            </w:tcMar>
          </w:tcPr>
          <w:p>
            <w:r>
              <w:rPr>
                <w:b w:val="false"/>
                <w:bCs w:val="false"/>
                <w:color w:val="000000"/>
                <w:sz w:val="18"/>
                <w:szCs w:val="18"/>
              </w:rPr>
              <w:t xml:space="preserve">Explicit boundary</w:t>
            </w:r>
          </w:p>
        </w:tc>
        <w:tc>
          <w:tcPr>
            <w:tcW w:type="dxa" w:w="6926"/>
            <w:tcMar>
              <w:top w:type="dxa" w:w="55"/>
              <w:left w:type="dxa" w:w="90"/>
              <w:bottom w:type="dxa" w:w="55"/>
              <w:right w:type="dxa" w:w="90"/>
            </w:tcMar>
          </w:tcPr>
          <w:p>
            <w:r>
              <w:rPr>
                <w:b w:val="false"/>
                <w:bCs w:val="false"/>
                <w:color w:val="000000"/>
                <w:sz w:val="18"/>
                <w:szCs w:val="18"/>
              </w:rPr>
              <w:t xml:space="preserve">General wellness and fitness support only. Not medical diagnosis, not treatment, not professional healthcare advice</w:t>
            </w:r>
          </w:p>
        </w:tc>
      </w:tr>
    </w:tbl>
    <w:p>
      <w:pPr>
        <w:pStyle w:val="Heading1"/>
        <w:pBdr>
          <w:bottom w:val="single" w:color="21C0DA" w:sz="6"/>
        </w:pBdr>
        <w:spacing w:after="140" w:before="300"/>
      </w:pPr>
      <w:r>
        <w:rPr>
          <w:b/>
          <w:bCs/>
          <w:color w:val="0B2233"/>
          <w:sz w:val="30"/>
          <w:szCs w:val="30"/>
        </w:rPr>
        <w:t xml:space="preserve">2. Team and Roles</w:t>
      </w:r>
    </w:p>
    <w:p>
      <w:pPr>
        <w:spacing w:after="110"/>
      </w:pPr>
      <w:r>
        <w:rPr>
          <w:b w:val="false"/>
          <w:bCs w:val="false"/>
          <w:i w:val="false"/>
          <w:iCs w:val="false"/>
          <w:color w:val="000000"/>
          <w:sz w:val="21"/>
          <w:szCs w:val="21"/>
        </w:rPr>
        <w:t xml:space="preserve">All three members are junior software developers. Role weighting reflects declared specialisation and the volume of architectural and documentation ownership each member carries.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0B2233" w:val="clear"/>
            <w:tcMar>
              <w:top w:type="dxa" w:w="55"/>
              <w:left w:type="dxa" w:w="90"/>
              <w:bottom w:type="dxa" w:w="55"/>
              <w:right w:type="dxa" w:w="90"/>
            </w:tcMar>
          </w:tcPr>
          <w:p>
            <w:r>
              <w:rPr>
                <w:b/>
                <w:bCs/>
                <w:color w:val="FFFFFF"/>
                <w:sz w:val="18"/>
                <w:szCs w:val="18"/>
              </w:rPr>
              <w:t xml:space="preserve">Team member</w:t>
            </w:r>
          </w:p>
        </w:tc>
        <w:tc>
          <w:tcPr>
            <w:tcW w:type="dxa" w:w="1700"/>
            <w:shd w:fill="0B2233" w:val="clear"/>
            <w:tcMar>
              <w:top w:type="dxa" w:w="55"/>
              <w:left w:type="dxa" w:w="90"/>
              <w:bottom w:type="dxa" w:w="55"/>
              <w:right w:type="dxa" w:w="90"/>
            </w:tcMar>
          </w:tcPr>
          <w:p>
            <w:r>
              <w:rPr>
                <w:b/>
                <w:bCs/>
                <w:color w:val="FFFFFF"/>
                <w:sz w:val="18"/>
                <w:szCs w:val="18"/>
              </w:rPr>
              <w:t xml:space="preserve">Student ID</w:t>
            </w:r>
          </w:p>
        </w:tc>
        <w:tc>
          <w:tcPr>
            <w:tcW w:type="dxa" w:w="4326"/>
            <w:shd w:fill="0B2233" w:val="clear"/>
            <w:tcMar>
              <w:top w:type="dxa" w:w="55"/>
              <w:left w:type="dxa" w:w="90"/>
              <w:bottom w:type="dxa" w:w="55"/>
              <w:right w:type="dxa" w:w="90"/>
            </w:tcMar>
          </w:tcPr>
          <w:p>
            <w:r>
              <w:rPr>
                <w:b/>
                <w:bCs/>
                <w:color w:val="FFFFFF"/>
                <w:sz w:val="18"/>
                <w:szCs w:val="18"/>
              </w:rPr>
              <w:t xml:space="preserve">Primary role</w:t>
            </w:r>
          </w:p>
        </w:tc>
      </w:tr>
      <w:tr>
        <w:tc>
          <w:tcPr>
            <w:tcW w:type="dxa" w:w="3000"/>
            <w:tcMar>
              <w:top w:type="dxa" w:w="55"/>
              <w:left w:type="dxa" w:w="90"/>
              <w:bottom w:type="dxa" w:w="55"/>
              <w:right w:type="dxa" w:w="90"/>
            </w:tcMar>
          </w:tcPr>
          <w:p>
            <w:r>
              <w:rPr>
                <w:b w:val="false"/>
                <w:bCs w:val="false"/>
                <w:color w:val="000000"/>
                <w:sz w:val="18"/>
                <w:szCs w:val="18"/>
              </w:rPr>
              <w:t xml:space="preserve">Babatundji Williams-Fulwood</w:t>
            </w:r>
          </w:p>
        </w:tc>
        <w:tc>
          <w:tcPr>
            <w:tcW w:type="dxa" w:w="1700"/>
            <w:tcMar>
              <w:top w:type="dxa" w:w="55"/>
              <w:left w:type="dxa" w:w="90"/>
              <w:bottom w:type="dxa" w:w="55"/>
              <w:right w:type="dxa" w:w="90"/>
            </w:tcMar>
          </w:tcPr>
          <w:p>
            <w:r>
              <w:rPr>
                <w:b w:val="false"/>
                <w:bCs w:val="false"/>
                <w:color w:val="000000"/>
                <w:sz w:val="18"/>
                <w:szCs w:val="18"/>
              </w:rPr>
              <w:t xml:space="preserve">[Student ID]</w:t>
            </w:r>
          </w:p>
        </w:tc>
        <w:tc>
          <w:tcPr>
            <w:tcW w:type="dxa" w:w="4326"/>
            <w:tcMar>
              <w:top w:type="dxa" w:w="55"/>
              <w:left w:type="dxa" w:w="90"/>
              <w:bottom w:type="dxa" w:w="55"/>
              <w:right w:type="dxa" w:w="90"/>
            </w:tcMar>
          </w:tcPr>
          <w:p>
            <w:r>
              <w:rPr>
                <w:b w:val="false"/>
                <w:bCs w:val="false"/>
                <w:color w:val="000000"/>
                <w:sz w:val="18"/>
                <w:szCs w:val="18"/>
              </w:rPr>
              <w:t xml:space="preserve">Technical Lead, Software Architect, Backend and AI Engineer</w:t>
            </w:r>
          </w:p>
        </w:tc>
      </w:tr>
      <w:tr>
        <w:tc>
          <w:tcPr>
            <w:tcW w:type="dxa" w:w="3000"/>
            <w:shd w:fill="F4FAFC" w:val="clear"/>
            <w:tcMar>
              <w:top w:type="dxa" w:w="55"/>
              <w:left w:type="dxa" w:w="90"/>
              <w:bottom w:type="dxa" w:w="55"/>
              <w:right w:type="dxa" w:w="90"/>
            </w:tcMar>
          </w:tcPr>
          <w:p>
            <w:r>
              <w:rPr>
                <w:b w:val="false"/>
                <w:bCs w:val="false"/>
                <w:color w:val="000000"/>
                <w:sz w:val="18"/>
                <w:szCs w:val="18"/>
              </w:rPr>
              <w:t xml:space="preserve">Eric La</w:t>
            </w:r>
          </w:p>
        </w:tc>
        <w:tc>
          <w:tcPr>
            <w:tcW w:type="dxa" w:w="1700"/>
            <w:shd w:fill="F4FAFC" w:val="clear"/>
            <w:tcMar>
              <w:top w:type="dxa" w:w="55"/>
              <w:left w:type="dxa" w:w="90"/>
              <w:bottom w:type="dxa" w:w="55"/>
              <w:right w:type="dxa" w:w="90"/>
            </w:tcMar>
          </w:tcPr>
          <w:p>
            <w:r>
              <w:rPr>
                <w:b w:val="false"/>
                <w:bCs w:val="false"/>
                <w:color w:val="000000"/>
                <w:sz w:val="18"/>
                <w:szCs w:val="18"/>
              </w:rPr>
              <w:t xml:space="preserve">[Student ID]</w:t>
            </w:r>
          </w:p>
        </w:tc>
        <w:tc>
          <w:tcPr>
            <w:tcW w:type="dxa" w:w="4326"/>
            <w:shd w:fill="F4FAFC" w:val="clear"/>
            <w:tcMar>
              <w:top w:type="dxa" w:w="55"/>
              <w:left w:type="dxa" w:w="90"/>
              <w:bottom w:type="dxa" w:w="55"/>
              <w:right w:type="dxa" w:w="90"/>
            </w:tcMar>
          </w:tcPr>
          <w:p>
            <w:r>
              <w:rPr>
                <w:b w:val="false"/>
                <w:bCs w:val="false"/>
                <w:color w:val="000000"/>
                <w:sz w:val="18"/>
                <w:szCs w:val="18"/>
              </w:rPr>
              <w:t xml:space="preserve">Frontend Developer, UI Implementation and Accessibility</w:t>
            </w:r>
          </w:p>
        </w:tc>
      </w:tr>
      <w:tr>
        <w:tc>
          <w:tcPr>
            <w:tcW w:type="dxa" w:w="3000"/>
            <w:tcMar>
              <w:top w:type="dxa" w:w="55"/>
              <w:left w:type="dxa" w:w="90"/>
              <w:bottom w:type="dxa" w:w="55"/>
              <w:right w:type="dxa" w:w="90"/>
            </w:tcMar>
          </w:tcPr>
          <w:p>
            <w:r>
              <w:rPr>
                <w:b w:val="false"/>
                <w:bCs w:val="false"/>
                <w:color w:val="000000"/>
                <w:sz w:val="18"/>
                <w:szCs w:val="18"/>
              </w:rPr>
              <w:t xml:space="preserve">Victor Hong</w:t>
            </w:r>
          </w:p>
        </w:tc>
        <w:tc>
          <w:tcPr>
            <w:tcW w:type="dxa" w:w="1700"/>
            <w:tcMar>
              <w:top w:type="dxa" w:w="55"/>
              <w:left w:type="dxa" w:w="90"/>
              <w:bottom w:type="dxa" w:w="55"/>
              <w:right w:type="dxa" w:w="90"/>
            </w:tcMar>
          </w:tcPr>
          <w:p>
            <w:r>
              <w:rPr>
                <w:b w:val="false"/>
                <w:bCs w:val="false"/>
                <w:color w:val="000000"/>
                <w:sz w:val="18"/>
                <w:szCs w:val="18"/>
              </w:rPr>
              <w:t xml:space="preserve">[Student ID]</w:t>
            </w:r>
          </w:p>
        </w:tc>
        <w:tc>
          <w:tcPr>
            <w:tcW w:type="dxa" w:w="4326"/>
            <w:tcMar>
              <w:top w:type="dxa" w:w="55"/>
              <w:left w:type="dxa" w:w="90"/>
              <w:bottom w:type="dxa" w:w="55"/>
              <w:right w:type="dxa" w:w="90"/>
            </w:tcMar>
          </w:tcPr>
          <w:p>
            <w:r>
              <w:rPr>
                <w:b w:val="false"/>
                <w:bCs w:val="false"/>
                <w:color w:val="000000"/>
                <w:sz w:val="18"/>
                <w:szCs w:val="18"/>
              </w:rPr>
              <w:t xml:space="preserve">Data and Quality Engineer, Full-Stack Support</w:t>
            </w:r>
          </w:p>
        </w:tc>
      </w:tr>
    </w:tbl>
    <w:p>
      <w:pPr>
        <w:spacing w:after="40" w:before="140"/>
        <w:jc w:val="center"/>
      </w:pPr>
      <w:r>
        <w:drawing>
          <wp:inline distT="0" distB="0" distL="0" distR="0">
            <wp:extent cx="4095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543050"/>
                    </a:xfrm>
                    <a:prstGeom prst="rect">
                      <a:avLst/>
                    </a:prstGeom>
                  </pic:spPr>
                </pic:pic>
              </a:graphicData>
            </a:graphic>
          </wp:inline>
        </w:drawing>
      </w:r>
    </w:p>
    <w:p>
      <w:pPr>
        <w:spacing w:after="160"/>
        <w:jc w:val="center"/>
      </w:pPr>
      <w:r>
        <w:rPr>
          <w:i/>
          <w:iCs/>
          <w:color w:val="5A6672"/>
          <w:sz w:val="17"/>
          <w:szCs w:val="17"/>
        </w:rPr>
        <w:t xml:space="preserve">Figure 1.1: Team structure and governance reporting line</w:t>
      </w:r>
    </w:p>
    <w:p>
      <w:pPr>
        <w:pStyle w:val="Heading2"/>
        <w:spacing w:after="100" w:before="220"/>
      </w:pPr>
      <w:r>
        <w:rPr>
          <w:b/>
          <w:bCs/>
          <w:color w:val="0A8CAB"/>
          <w:sz w:val="25"/>
          <w:szCs w:val="25"/>
        </w:rPr>
        <w:t xml:space="preserve">2.1 Detailed responsibility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100"/>
        <w:gridCol w:w="2426"/>
      </w:tblGrid>
      <w:tr>
        <w:trPr>
          <w:tblHeader/>
        </w:trPr>
        <w:tc>
          <w:tcPr>
            <w:tcW w:type="dxa" w:w="1900"/>
            <w:shd w:fill="0B2233" w:val="clear"/>
            <w:tcMar>
              <w:top w:type="dxa" w:w="55"/>
              <w:left w:type="dxa" w:w="90"/>
              <w:bottom w:type="dxa" w:w="55"/>
              <w:right w:type="dxa" w:w="90"/>
            </w:tcMar>
          </w:tcPr>
          <w:p>
            <w:r>
              <w:rPr>
                <w:b/>
                <w:bCs/>
                <w:color w:val="FFFFFF"/>
                <w:sz w:val="18"/>
                <w:szCs w:val="18"/>
              </w:rPr>
              <w:t xml:space="preserve">Member</w:t>
            </w:r>
          </w:p>
        </w:tc>
        <w:tc>
          <w:tcPr>
            <w:tcW w:type="dxa" w:w="2600"/>
            <w:shd w:fill="0B2233" w:val="clear"/>
            <w:tcMar>
              <w:top w:type="dxa" w:w="55"/>
              <w:left w:type="dxa" w:w="90"/>
              <w:bottom w:type="dxa" w:w="55"/>
              <w:right w:type="dxa" w:w="90"/>
            </w:tcMar>
          </w:tcPr>
          <w:p>
            <w:r>
              <w:rPr>
                <w:b/>
                <w:bCs/>
                <w:color w:val="FFFFFF"/>
                <w:sz w:val="18"/>
                <w:szCs w:val="18"/>
              </w:rPr>
              <w:t xml:space="preserve">Owns</w:t>
            </w:r>
          </w:p>
        </w:tc>
        <w:tc>
          <w:tcPr>
            <w:tcW w:type="dxa" w:w="2100"/>
            <w:shd w:fill="0B2233" w:val="clear"/>
            <w:tcMar>
              <w:top w:type="dxa" w:w="55"/>
              <w:left w:type="dxa" w:w="90"/>
              <w:bottom w:type="dxa" w:w="55"/>
              <w:right w:type="dxa" w:w="90"/>
            </w:tcMar>
          </w:tcPr>
          <w:p>
            <w:r>
              <w:rPr>
                <w:b/>
                <w:bCs/>
                <w:color w:val="FFFFFF"/>
                <w:sz w:val="18"/>
                <w:szCs w:val="18"/>
              </w:rPr>
              <w:t xml:space="preserve">Contributes to</w:t>
            </w:r>
          </w:p>
        </w:tc>
        <w:tc>
          <w:tcPr>
            <w:tcW w:type="dxa" w:w="2426"/>
            <w:shd w:fill="0B2233" w:val="clear"/>
            <w:tcMar>
              <w:top w:type="dxa" w:w="55"/>
              <w:left w:type="dxa" w:w="90"/>
              <w:bottom w:type="dxa" w:w="55"/>
              <w:right w:type="dxa" w:w="90"/>
            </w:tcMar>
          </w:tcPr>
          <w:p>
            <w:r>
              <w:rPr>
                <w:b/>
                <w:bCs/>
                <w:color w:val="FFFFFF"/>
                <w:sz w:val="18"/>
                <w:szCs w:val="18"/>
              </w:rPr>
              <w:t xml:space="preserve">Documentation ownership</w:t>
            </w:r>
          </w:p>
        </w:tc>
      </w:tr>
      <w:tr>
        <w:tc>
          <w:tcPr>
            <w:tcW w:type="dxa" w:w="1900"/>
            <w:tcMar>
              <w:top w:type="dxa" w:w="55"/>
              <w:left w:type="dxa" w:w="90"/>
              <w:bottom w:type="dxa" w:w="55"/>
              <w:right w:type="dxa" w:w="90"/>
            </w:tcMar>
          </w:tcPr>
          <w:p>
            <w:r>
              <w:rPr>
                <w:b w:val="false"/>
                <w:bCs w:val="false"/>
                <w:color w:val="000000"/>
                <w:sz w:val="18"/>
                <w:szCs w:val="18"/>
              </w:rPr>
              <w:t xml:space="preserve">Babatundji Williams-Fulwood</w:t>
            </w:r>
          </w:p>
        </w:tc>
        <w:tc>
          <w:tcPr>
            <w:tcW w:type="dxa" w:w="2600"/>
            <w:tcMar>
              <w:top w:type="dxa" w:w="55"/>
              <w:left w:type="dxa" w:w="90"/>
              <w:bottom w:type="dxa" w:w="55"/>
              <w:right w:type="dxa" w:w="90"/>
            </w:tcMar>
          </w:tcPr>
          <w:p>
            <w:r>
              <w:rPr>
                <w:b w:val="false"/>
                <w:bCs w:val="false"/>
                <w:color w:val="000000"/>
                <w:sz w:val="18"/>
                <w:szCs w:val="18"/>
              </w:rPr>
              <w:t xml:space="preserve">System architecture, Azure subscription and governance, backend services (auth, profile, nutrition, recommendation, training, progress), AI Gateway and prompt engineering, security and guardrails, CI/CD and infrastructure as code</w:t>
            </w:r>
          </w:p>
        </w:tc>
        <w:tc>
          <w:tcPr>
            <w:tcW w:type="dxa" w:w="2100"/>
            <w:tcMar>
              <w:top w:type="dxa" w:w="55"/>
              <w:left w:type="dxa" w:w="90"/>
              <w:bottom w:type="dxa" w:w="55"/>
              <w:right w:type="dxa" w:w="90"/>
            </w:tcMar>
          </w:tcPr>
          <w:p>
            <w:r>
              <w:rPr>
                <w:b w:val="false"/>
                <w:bCs w:val="false"/>
                <w:color w:val="000000"/>
                <w:sz w:val="18"/>
                <w:szCs w:val="18"/>
              </w:rPr>
              <w:t xml:space="preserve">Frontend integration contracts, data model review, release management, sprint facilitation</w:t>
            </w:r>
          </w:p>
        </w:tc>
        <w:tc>
          <w:tcPr>
            <w:tcW w:type="dxa" w:w="2426"/>
            <w:tcMar>
              <w:top w:type="dxa" w:w="55"/>
              <w:left w:type="dxa" w:w="90"/>
              <w:bottom w:type="dxa" w:w="55"/>
              <w:right w:type="dxa" w:w="90"/>
            </w:tcMar>
          </w:tcPr>
          <w:p>
            <w:r>
              <w:rPr>
                <w:b w:val="false"/>
                <w:bCs w:val="false"/>
                <w:color w:val="000000"/>
                <w:sz w:val="18"/>
                <w:szCs w:val="18"/>
              </w:rPr>
              <w:t xml:space="preserve">Charter, PRD, SRS, HLD, ADR Log, Data Model, API Contract, UML, LLD, AI and LLMOps, Safety, Licensing Register, Implementation Document, Runbook, Final Report</w:t>
            </w:r>
          </w:p>
        </w:tc>
      </w:tr>
      <w:tr>
        <w:tc>
          <w:tcPr>
            <w:tcW w:type="dxa" w:w="1900"/>
            <w:shd w:fill="F4FAFC" w:val="clear"/>
            <w:tcMar>
              <w:top w:type="dxa" w:w="55"/>
              <w:left w:type="dxa" w:w="90"/>
              <w:bottom w:type="dxa" w:w="55"/>
              <w:right w:type="dxa" w:w="90"/>
            </w:tcMar>
          </w:tcPr>
          <w:p>
            <w:r>
              <w:rPr>
                <w:b w:val="false"/>
                <w:bCs w:val="false"/>
                <w:color w:val="000000"/>
                <w:sz w:val="18"/>
                <w:szCs w:val="18"/>
              </w:rPr>
              <w:t xml:space="preserve">Eric La</w:t>
            </w:r>
          </w:p>
        </w:tc>
        <w:tc>
          <w:tcPr>
            <w:tcW w:type="dxa" w:w="2600"/>
            <w:shd w:fill="F4FAFC" w:val="clear"/>
            <w:tcMar>
              <w:top w:type="dxa" w:w="55"/>
              <w:left w:type="dxa" w:w="90"/>
              <w:bottom w:type="dxa" w:w="55"/>
              <w:right w:type="dxa" w:w="90"/>
            </w:tcMar>
          </w:tcPr>
          <w:p>
            <w:r>
              <w:rPr>
                <w:b w:val="false"/>
                <w:bCs w:val="false"/>
                <w:color w:val="000000"/>
                <w:sz w:val="18"/>
                <w:szCs w:val="18"/>
              </w:rPr>
              <w:t xml:space="preserve">Frontend application for both delivery targets, design system implementation from the AquaZero tokens, screen implementation, accessibility conformance, client-side state and API client</w:t>
            </w:r>
          </w:p>
        </w:tc>
        <w:tc>
          <w:tcPr>
            <w:tcW w:type="dxa" w:w="2100"/>
            <w:shd w:fill="F4FAFC" w:val="clear"/>
            <w:tcMar>
              <w:top w:type="dxa" w:w="55"/>
              <w:left w:type="dxa" w:w="90"/>
              <w:bottom w:type="dxa" w:w="55"/>
              <w:right w:type="dxa" w:w="90"/>
            </w:tcMar>
          </w:tcPr>
          <w:p>
            <w:r>
              <w:rPr>
                <w:b w:val="false"/>
                <w:bCs w:val="false"/>
                <w:color w:val="000000"/>
                <w:sz w:val="18"/>
                <w:szCs w:val="18"/>
              </w:rPr>
              <w:t xml:space="preserve">Component-level testing, UI defect triage, user manual screenshots</w:t>
            </w:r>
          </w:p>
        </w:tc>
        <w:tc>
          <w:tcPr>
            <w:tcW w:type="dxa" w:w="2426"/>
            <w:shd w:fill="F4FAFC" w:val="clear"/>
            <w:tcMar>
              <w:top w:type="dxa" w:w="55"/>
              <w:left w:type="dxa" w:w="90"/>
              <w:bottom w:type="dxa" w:w="55"/>
              <w:right w:type="dxa" w:w="90"/>
            </w:tcMar>
          </w:tcPr>
          <w:p>
            <w:r>
              <w:rPr>
                <w:b w:val="false"/>
                <w:bCs w:val="false"/>
                <w:color w:val="000000"/>
                <w:sz w:val="18"/>
                <w:szCs w:val="18"/>
              </w:rPr>
              <w:t xml:space="preserve">User Manual (primary author), UI sections of the SRS and Implementation Document, frontend entries in the Diary</w:t>
            </w:r>
          </w:p>
        </w:tc>
      </w:tr>
      <w:tr>
        <w:tc>
          <w:tcPr>
            <w:tcW w:type="dxa" w:w="1900"/>
            <w:tcMar>
              <w:top w:type="dxa" w:w="55"/>
              <w:left w:type="dxa" w:w="90"/>
              <w:bottom w:type="dxa" w:w="55"/>
              <w:right w:type="dxa" w:w="90"/>
            </w:tcMar>
          </w:tcPr>
          <w:p>
            <w:r>
              <w:rPr>
                <w:b w:val="false"/>
                <w:bCs w:val="false"/>
                <w:color w:val="000000"/>
                <w:sz w:val="18"/>
                <w:szCs w:val="18"/>
              </w:rPr>
              <w:t xml:space="preserve">Victor Hong</w:t>
            </w:r>
          </w:p>
        </w:tc>
        <w:tc>
          <w:tcPr>
            <w:tcW w:type="dxa" w:w="2600"/>
            <w:tcMar>
              <w:top w:type="dxa" w:w="55"/>
              <w:left w:type="dxa" w:w="90"/>
              <w:bottom w:type="dxa" w:w="55"/>
              <w:right w:type="dxa" w:w="90"/>
            </w:tcMar>
          </w:tcPr>
          <w:p>
            <w:r>
              <w:rPr>
                <w:b w:val="false"/>
                <w:bCs w:val="false"/>
                <w:color w:val="000000"/>
                <w:sz w:val="18"/>
                <w:szCs w:val="18"/>
              </w:rPr>
              <w:t xml:space="preserve">Data ingestion pipelines (exercise corpus and food composition data), database seeding and migrations, test plan execution, verification evidence capture, defect logging</w:t>
            </w:r>
          </w:p>
        </w:tc>
        <w:tc>
          <w:tcPr>
            <w:tcW w:type="dxa" w:w="2100"/>
            <w:tcMar>
              <w:top w:type="dxa" w:w="55"/>
              <w:left w:type="dxa" w:w="90"/>
              <w:bottom w:type="dxa" w:w="55"/>
              <w:right w:type="dxa" w:w="90"/>
            </w:tcMar>
          </w:tcPr>
          <w:p>
            <w:r>
              <w:rPr>
                <w:b w:val="false"/>
                <w:bCs w:val="false"/>
                <w:color w:val="000000"/>
                <w:sz w:val="18"/>
                <w:szCs w:val="18"/>
              </w:rPr>
              <w:t xml:space="preserve">Backend service support, API contract review, deployment smoke tests</w:t>
            </w:r>
          </w:p>
        </w:tc>
        <w:tc>
          <w:tcPr>
            <w:tcW w:type="dxa" w:w="2426"/>
            <w:tcMar>
              <w:top w:type="dxa" w:w="55"/>
              <w:left w:type="dxa" w:w="90"/>
              <w:bottom w:type="dxa" w:w="55"/>
              <w:right w:type="dxa" w:w="90"/>
            </w:tcMar>
          </w:tcPr>
          <w:p>
            <w:r>
              <w:rPr>
                <w:b w:val="false"/>
                <w:bCs w:val="false"/>
                <w:color w:val="000000"/>
                <w:sz w:val="18"/>
                <w:szCs w:val="18"/>
              </w:rPr>
              <w:t xml:space="preserve">Test Plan and QA Strategy (primary author), Progress Report evidence appendix, data sections of the Data Model, data entries in the Diary</w:t>
            </w:r>
          </w:p>
        </w:tc>
      </w:tr>
    </w:tbl>
    <w:p>
      <w:pPr>
        <w:pStyle w:val="Heading2"/>
        <w:spacing w:after="100" w:before="220"/>
      </w:pPr>
      <w:r>
        <w:rPr>
          <w:b/>
          <w:bCs/>
          <w:color w:val="0A8CAB"/>
          <w:sz w:val="25"/>
          <w:szCs w:val="25"/>
        </w:rPr>
        <w:t xml:space="preserve">2.2 Rationale for weighting</w:t>
      </w:r>
    </w:p>
    <w:p>
      <w:pPr>
        <w:pStyle w:val="ListParagraph"/>
        <w:numPr>
          <w:ilvl w:val="0"/>
          <w:numId w:val="2"/>
        </w:numPr>
        <w:spacing w:after="55"/>
      </w:pPr>
      <w:r>
        <w:rPr>
          <w:sz w:val="21"/>
          <w:szCs w:val="21"/>
        </w:rPr>
        <w:t xml:space="preserve">Babatundji Williams-Fulwood specialises in backend and AI engineering and also covers general software engineering, so the architecture, the AI layer, the cloud platform and the majority of technical documentation sit with the Technical Lead.</w:t>
      </w:r>
    </w:p>
    <w:p>
      <w:pPr>
        <w:pStyle w:val="ListParagraph"/>
        <w:numPr>
          <w:ilvl w:val="0"/>
          <w:numId w:val="2"/>
        </w:numPr>
        <w:spacing w:after="55"/>
      </w:pPr>
      <w:r>
        <w:rPr>
          <w:sz w:val="21"/>
          <w:szCs w:val="21"/>
        </w:rPr>
        <w:t xml:space="preserve">Eric La and Victor Hong hold clearly bounded, independently demonstrable ownership. This matters for assessment: each member must be able to demonstrate and explain their own work at review.</w:t>
      </w:r>
    </w:p>
    <w:p>
      <w:pPr>
        <w:pStyle w:val="ListParagraph"/>
        <w:numPr>
          <w:ilvl w:val="0"/>
          <w:numId w:val="2"/>
        </w:numPr>
        <w:spacing w:after="55"/>
      </w:pPr>
      <w:r>
        <w:rPr>
          <w:sz w:val="21"/>
          <w:szCs w:val="21"/>
        </w:rPr>
        <w:t xml:space="preserve">Every member reviews at least one pull request per sprint outside their own lane, so no area has a single point of knowledge.</w:t>
      </w:r>
    </w:p>
    <w:p>
      <w:pPr>
        <w:pStyle w:val="Heading1"/>
        <w:pBdr>
          <w:bottom w:val="single" w:color="21C0DA" w:sz="6"/>
        </w:pBdr>
        <w:spacing w:after="140" w:before="300"/>
      </w:pPr>
      <w:r>
        <w:rPr>
          <w:b/>
          <w:bCs/>
          <w:color w:val="0B2233"/>
          <w:sz w:val="30"/>
          <w:szCs w:val="30"/>
        </w:rPr>
        <w:t xml:space="preserve">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B2233" w:val="clear"/>
            <w:tcMar>
              <w:top w:type="dxa" w:w="55"/>
              <w:left w:type="dxa" w:w="90"/>
              <w:bottom w:type="dxa" w:w="55"/>
              <w:right w:type="dxa" w:w="90"/>
            </w:tcMar>
          </w:tcPr>
          <w:p>
            <w:r>
              <w:rPr>
                <w:b/>
                <w:bCs/>
                <w:color w:val="FFFFFF"/>
                <w:sz w:val="18"/>
                <w:szCs w:val="18"/>
              </w:rPr>
              <w:t xml:space="preserve">In scope</w:t>
            </w:r>
          </w:p>
        </w:tc>
        <w:tc>
          <w:tcPr>
            <w:tcW w:type="dxa" w:w="4513"/>
            <w:shd w:fill="0B2233" w:val="clear"/>
            <w:tcMar>
              <w:top w:type="dxa" w:w="55"/>
              <w:left w:type="dxa" w:w="90"/>
              <w:bottom w:type="dxa" w:w="55"/>
              <w:right w:type="dxa" w:w="90"/>
            </w:tcMar>
          </w:tcPr>
          <w:p>
            <w:r>
              <w:rPr>
                <w:b/>
                <w:bCs/>
                <w:color w:val="FFFFFF"/>
                <w:sz w:val="18"/>
                <w:szCs w:val="18"/>
              </w:rPr>
              <w:t xml:space="preserve">Out of scope</w:t>
            </w:r>
          </w:p>
        </w:tc>
      </w:tr>
      <w:tr>
        <w:tc>
          <w:tcPr>
            <w:tcW w:type="dxa" w:w="4513"/>
            <w:tcMar>
              <w:top w:type="dxa" w:w="55"/>
              <w:left w:type="dxa" w:w="90"/>
              <w:bottom w:type="dxa" w:w="55"/>
              <w:right w:type="dxa" w:w="90"/>
            </w:tcMar>
          </w:tcPr>
          <w:p>
            <w:r>
              <w:rPr>
                <w:b w:val="false"/>
                <w:bCs w:val="false"/>
                <w:color w:val="000000"/>
                <w:sz w:val="18"/>
                <w:szCs w:val="18"/>
              </w:rPr>
              <w:t xml:space="preserve">Secure registration, authentication and wellness profile</w:t>
            </w:r>
          </w:p>
        </w:tc>
        <w:tc>
          <w:tcPr>
            <w:tcW w:type="dxa" w:w="4513"/>
            <w:tcMar>
              <w:top w:type="dxa" w:w="55"/>
              <w:left w:type="dxa" w:w="90"/>
              <w:bottom w:type="dxa" w:w="55"/>
              <w:right w:type="dxa" w:w="90"/>
            </w:tcMar>
          </w:tcPr>
          <w:p>
            <w:r>
              <w:rPr>
                <w:b w:val="false"/>
                <w:bCs w:val="false"/>
                <w:color w:val="000000"/>
                <w:sz w:val="18"/>
                <w:szCs w:val="18"/>
              </w:rPr>
              <w:t xml:space="preserve">Medical diagnosis, treatment or medication advice</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Food logging, manual and by photo, with calorie estimation</w:t>
            </w:r>
          </w:p>
        </w:tc>
        <w:tc>
          <w:tcPr>
            <w:tcW w:type="dxa" w:w="4513"/>
            <w:shd w:fill="F4FAFC" w:val="clear"/>
            <w:tcMar>
              <w:top w:type="dxa" w:w="55"/>
              <w:left w:type="dxa" w:w="90"/>
              <w:bottom w:type="dxa" w:w="55"/>
              <w:right w:type="dxa" w:w="90"/>
            </w:tcMar>
          </w:tcPr>
          <w:p>
            <w:r>
              <w:rPr>
                <w:b w:val="false"/>
                <w:bCs w:val="false"/>
                <w:color w:val="000000"/>
                <w:sz w:val="18"/>
                <w:szCs w:val="18"/>
              </w:rPr>
              <w:t xml:space="preserve">Eating disorder treatment or mental health therapy</w:t>
            </w:r>
          </w:p>
        </w:tc>
      </w:tr>
      <w:tr>
        <w:tc>
          <w:tcPr>
            <w:tcW w:type="dxa" w:w="4513"/>
            <w:tcMar>
              <w:top w:type="dxa" w:w="55"/>
              <w:left w:type="dxa" w:w="90"/>
              <w:bottom w:type="dxa" w:w="55"/>
              <w:right w:type="dxa" w:w="90"/>
            </w:tcMar>
          </w:tcPr>
          <w:p>
            <w:r>
              <w:rPr>
                <w:b w:val="false"/>
                <w:bCs w:val="false"/>
                <w:color w:val="000000"/>
                <w:sz w:val="18"/>
                <w:szCs w:val="18"/>
              </w:rPr>
              <w:t xml:space="preserve">Nutrition dashboard: calories, protein, carbohydrate, fat, water, weight</w:t>
            </w:r>
          </w:p>
        </w:tc>
        <w:tc>
          <w:tcPr>
            <w:tcW w:type="dxa" w:w="4513"/>
            <w:tcMar>
              <w:top w:type="dxa" w:w="55"/>
              <w:left w:type="dxa" w:w="90"/>
              <w:bottom w:type="dxa" w:w="55"/>
              <w:right w:type="dxa" w:w="90"/>
            </w:tcMar>
          </w:tcPr>
          <w:p>
            <w:r>
              <w:rPr>
                <w:b w:val="false"/>
                <w:bCs w:val="false"/>
                <w:color w:val="000000"/>
                <w:sz w:val="18"/>
                <w:szCs w:val="18"/>
              </w:rPr>
              <w:t xml:space="preserve">Integration with medical records or clinical systems</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AI recommendation engine for meals and recipes</w:t>
            </w:r>
          </w:p>
        </w:tc>
        <w:tc>
          <w:tcPr>
            <w:tcW w:type="dxa" w:w="4513"/>
            <w:shd w:fill="F4FAFC" w:val="clear"/>
            <w:tcMar>
              <w:top w:type="dxa" w:w="55"/>
              <w:left w:type="dxa" w:w="90"/>
              <w:bottom w:type="dxa" w:w="55"/>
              <w:right w:type="dxa" w:w="90"/>
            </w:tcMar>
          </w:tcPr>
          <w:p>
            <w:r>
              <w:rPr>
                <w:b w:val="false"/>
                <w:bCs w:val="false"/>
                <w:color w:val="000000"/>
                <w:sz w:val="18"/>
                <w:szCs w:val="18"/>
              </w:rPr>
              <w:t xml:space="preserve">Wearable device synchronisation (documented as future work)</w:t>
            </w:r>
          </w:p>
        </w:tc>
      </w:tr>
      <w:tr>
        <w:tc>
          <w:tcPr>
            <w:tcW w:type="dxa" w:w="4513"/>
            <w:tcMar>
              <w:top w:type="dxa" w:w="55"/>
              <w:left w:type="dxa" w:w="90"/>
              <w:bottom w:type="dxa" w:w="55"/>
              <w:right w:type="dxa" w:w="90"/>
            </w:tcMar>
          </w:tcPr>
          <w:p>
            <w:r>
              <w:rPr>
                <w:b w:val="false"/>
                <w:bCs w:val="false"/>
                <w:color w:val="000000"/>
                <w:sz w:val="18"/>
                <w:szCs w:val="18"/>
              </w:rPr>
              <w:t xml:space="preserve">Home training and weight-loss planning, daily workout module</w:t>
            </w:r>
          </w:p>
        </w:tc>
        <w:tc>
          <w:tcPr>
            <w:tcW w:type="dxa" w:w="4513"/>
            <w:tcMar>
              <w:top w:type="dxa" w:w="55"/>
              <w:left w:type="dxa" w:w="90"/>
              <w:bottom w:type="dxa" w:w="55"/>
              <w:right w:type="dxa" w:w="90"/>
            </w:tcMar>
          </w:tcPr>
          <w:p>
            <w:r>
              <w:rPr>
                <w:b w:val="false"/>
                <w:bCs w:val="false"/>
                <w:color w:val="000000"/>
                <w:sz w:val="18"/>
                <w:szCs w:val="18"/>
              </w:rPr>
              <w:t xml:space="preserve">Native iOS and Android applications</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Progress tracking with achievements</w:t>
            </w:r>
          </w:p>
        </w:tc>
        <w:tc>
          <w:tcPr>
            <w:tcW w:type="dxa" w:w="4513"/>
            <w:shd w:fill="F4FAFC" w:val="clear"/>
            <w:tcMar>
              <w:top w:type="dxa" w:w="55"/>
              <w:left w:type="dxa" w:w="90"/>
              <w:bottom w:type="dxa" w:w="55"/>
              <w:right w:type="dxa" w:w="90"/>
            </w:tcMar>
          </w:tcPr>
          <w:p>
            <w:r>
              <w:rPr>
                <w:b w:val="false"/>
                <w:bCs w:val="false"/>
                <w:color w:val="000000"/>
                <w:sz w:val="18"/>
                <w:szCs w:val="18"/>
              </w:rPr>
              <w:t xml:space="preserve">Multi-language interface</w:t>
            </w:r>
          </w:p>
        </w:tc>
      </w:tr>
      <w:tr>
        <w:tc>
          <w:tcPr>
            <w:tcW w:type="dxa" w:w="4513"/>
            <w:tcMar>
              <w:top w:type="dxa" w:w="55"/>
              <w:left w:type="dxa" w:w="90"/>
              <w:bottom w:type="dxa" w:w="55"/>
              <w:right w:type="dxa" w:w="90"/>
            </w:tcMar>
          </w:tcPr>
          <w:p>
            <w:r>
              <w:rPr>
                <w:b w:val="false"/>
                <w:bCs w:val="false"/>
                <w:color w:val="000000"/>
                <w:sz w:val="18"/>
                <w:szCs w:val="18"/>
              </w:rPr>
              <w:t xml:space="preserve">Conversational AI assistant with guardrails</w:t>
            </w:r>
          </w:p>
        </w:tc>
        <w:tc>
          <w:tcPr>
            <w:tcW w:type="dxa" w:w="4513"/>
            <w:tcMar>
              <w:top w:type="dxa" w:w="55"/>
              <w:left w:type="dxa" w:w="90"/>
              <w:bottom w:type="dxa" w:w="55"/>
              <w:right w:type="dxa" w:w="90"/>
            </w:tcMar>
          </w:tcPr>
          <w:p>
            <w:r>
              <w:rPr>
                <w:b w:val="false"/>
                <w:bCs w:val="false"/>
                <w:color w:val="000000"/>
                <w:sz w:val="18"/>
                <w:szCs w:val="18"/>
              </w:rPr>
              <w:t xml:space="preserve">Live payment processing during the capstone</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Safety, privacy and ethical design layer</w:t>
            </w:r>
          </w:p>
        </w:tc>
        <w:tc>
          <w:tcPr>
            <w:tcW w:type="dxa" w:w="4513"/>
            <w:shd w:fill="F4FAFC" w:val="clear"/>
            <w:tcMar>
              <w:top w:type="dxa" w:w="55"/>
              <w:left w:type="dxa" w:w="90"/>
              <w:bottom w:type="dxa" w:w="55"/>
              <w:right w:type="dxa" w:w="90"/>
            </w:tcMar>
          </w:tcPr>
          <w:p>
            <w:r>
              <w:rPr>
                <w:b w:val="false"/>
                <w:bCs w:val="false"/>
                <w:color w:val="000000"/>
                <w:sz w:val="18"/>
                <w:szCs w:val="18"/>
              </w:rPr>
              <w:t xml:space="preserve">Clinical validation of nutrition estimates</w:t>
            </w:r>
          </w:p>
        </w:tc>
      </w:tr>
      <w:tr>
        <w:tc>
          <w:tcPr>
            <w:tcW w:type="dxa" w:w="4513"/>
            <w:tcMar>
              <w:top w:type="dxa" w:w="55"/>
              <w:left w:type="dxa" w:w="90"/>
              <w:bottom w:type="dxa" w:w="55"/>
              <w:right w:type="dxa" w:w="90"/>
            </w:tcMar>
          </w:tcPr>
          <w:p>
            <w:r>
              <w:rPr>
                <w:b w:val="false"/>
                <w:bCs w:val="false"/>
                <w:color w:val="000000"/>
                <w:sz w:val="18"/>
                <w:szCs w:val="18"/>
              </w:rPr>
              <w:t xml:space="preserve">Responsive web application and Telegram Mini App</w:t>
            </w:r>
          </w:p>
        </w:tc>
        <w:tc>
          <w:tcPr>
            <w:tcW w:type="dxa" w:w="4513"/>
            <w:tcMar>
              <w:top w:type="dxa" w:w="55"/>
              <w:left w:type="dxa" w:w="90"/>
              <w:bottom w:type="dxa" w:w="55"/>
              <w:right w:type="dxa" w:w="90"/>
            </w:tcMar>
          </w:tcPr>
          <w:p>
            <w:r>
              <w:rPr>
                <w:b w:val="false"/>
                <w:bCs w:val="false"/>
                <w:color w:val="000000"/>
                <w:sz w:val="18"/>
                <w:szCs w:val="18"/>
              </w:rPr>
              <w:t xml:space="preserve"/>
            </w:r>
          </w:p>
        </w:tc>
      </w:tr>
    </w:tbl>
    <w:p>
      <w:pPr>
        <w:pStyle w:val="Heading1"/>
        <w:pBdr>
          <w:bottom w:val="single" w:color="21C0DA" w:sz="6"/>
        </w:pBdr>
        <w:spacing w:after="140" w:before="300"/>
      </w:pPr>
      <w:r>
        <w:rPr>
          <w:b/>
          <w:bCs/>
          <w:color w:val="0B2233"/>
          <w:sz w:val="30"/>
          <w:szCs w:val="30"/>
        </w:rPr>
        <w:t xml:space="preserve">4. Governance and Ways of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Practice</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Method</w:t>
            </w:r>
          </w:p>
        </w:tc>
        <w:tc>
          <w:tcPr>
            <w:tcW w:type="dxa" w:w="6926"/>
            <w:tcMar>
              <w:top w:type="dxa" w:w="55"/>
              <w:left w:type="dxa" w:w="90"/>
              <w:bottom w:type="dxa" w:w="55"/>
              <w:right w:type="dxa" w:w="90"/>
            </w:tcMar>
          </w:tcPr>
          <w:p>
            <w:r>
              <w:rPr>
                <w:b w:val="false"/>
                <w:bCs w:val="false"/>
                <w:color w:val="000000"/>
                <w:sz w:val="18"/>
                <w:szCs w:val="18"/>
              </w:rPr>
              <w:t xml:space="preserve">Agile Scrum, two-week sprints across the semester</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Ceremonies</w:t>
            </w:r>
          </w:p>
        </w:tc>
        <w:tc>
          <w:tcPr>
            <w:tcW w:type="dxa" w:w="6926"/>
            <w:shd w:fill="F4FAFC" w:val="clear"/>
            <w:tcMar>
              <w:top w:type="dxa" w:w="55"/>
              <w:left w:type="dxa" w:w="90"/>
              <w:bottom w:type="dxa" w:w="55"/>
              <w:right w:type="dxa" w:w="90"/>
            </w:tcMar>
          </w:tcPr>
          <w:p>
            <w:r>
              <w:rPr>
                <w:b w:val="false"/>
                <w:bCs w:val="false"/>
                <w:color w:val="000000"/>
                <w:sz w:val="18"/>
                <w:szCs w:val="18"/>
              </w:rPr>
              <w:t xml:space="preserve">Sprint planning, twice-weekly stand-up, sprint review with demonstration, retrospective</w:t>
            </w:r>
          </w:p>
        </w:tc>
      </w:tr>
      <w:tr>
        <w:tc>
          <w:tcPr>
            <w:tcW w:type="dxa" w:w="2100"/>
            <w:tcMar>
              <w:top w:type="dxa" w:w="55"/>
              <w:left w:type="dxa" w:w="90"/>
              <w:bottom w:type="dxa" w:w="55"/>
              <w:right w:type="dxa" w:w="90"/>
            </w:tcMar>
          </w:tcPr>
          <w:p>
            <w:r>
              <w:rPr>
                <w:b w:val="false"/>
                <w:bCs w:val="false"/>
                <w:color w:val="000000"/>
                <w:sz w:val="18"/>
                <w:szCs w:val="18"/>
              </w:rPr>
              <w:t xml:space="preserve">Backlog</w:t>
            </w:r>
          </w:p>
        </w:tc>
        <w:tc>
          <w:tcPr>
            <w:tcW w:type="dxa" w:w="6926"/>
            <w:tcMar>
              <w:top w:type="dxa" w:w="55"/>
              <w:left w:type="dxa" w:w="90"/>
              <w:bottom w:type="dxa" w:w="55"/>
              <w:right w:type="dxa" w:w="90"/>
            </w:tcMar>
          </w:tcPr>
          <w:p>
            <w:r>
              <w:rPr>
                <w:b w:val="false"/>
                <w:bCs w:val="false"/>
                <w:color w:val="000000"/>
                <w:sz w:val="18"/>
                <w:szCs w:val="18"/>
              </w:rPr>
              <w:t xml:space="preserve">GitHub Projects board; every item has an owner, acceptance criteria and verification evidence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Definition of Done</w:t>
            </w:r>
          </w:p>
        </w:tc>
        <w:tc>
          <w:tcPr>
            <w:tcW w:type="dxa" w:w="6926"/>
            <w:shd w:fill="F4FAFC" w:val="clear"/>
            <w:tcMar>
              <w:top w:type="dxa" w:w="55"/>
              <w:left w:type="dxa" w:w="90"/>
              <w:bottom w:type="dxa" w:w="55"/>
              <w:right w:type="dxa" w:w="90"/>
            </w:tcMar>
          </w:tcPr>
          <w:p>
            <w:r>
              <w:rPr>
                <w:b w:val="false"/>
                <w:bCs w:val="false"/>
                <w:color w:val="000000"/>
                <w:sz w:val="18"/>
                <w:szCs w:val="18"/>
              </w:rPr>
              <w:t xml:space="preserve">Code merged, tests passing, documentation updated, peer reviewed, accessibility checked for UI work, safety evaluation passed for AI work</w:t>
            </w:r>
          </w:p>
        </w:tc>
      </w:tr>
      <w:tr>
        <w:tc>
          <w:tcPr>
            <w:tcW w:type="dxa" w:w="2100"/>
            <w:tcMar>
              <w:top w:type="dxa" w:w="55"/>
              <w:left w:type="dxa" w:w="90"/>
              <w:bottom w:type="dxa" w:w="55"/>
              <w:right w:type="dxa" w:w="90"/>
            </w:tcMar>
          </w:tcPr>
          <w:p>
            <w:r>
              <w:rPr>
                <w:b w:val="false"/>
                <w:bCs w:val="false"/>
                <w:color w:val="000000"/>
                <w:sz w:val="18"/>
                <w:szCs w:val="18"/>
              </w:rPr>
              <w:t xml:space="preserve">Source control</w:t>
            </w:r>
          </w:p>
        </w:tc>
        <w:tc>
          <w:tcPr>
            <w:tcW w:type="dxa" w:w="6926"/>
            <w:tcMar>
              <w:top w:type="dxa" w:w="55"/>
              <w:left w:type="dxa" w:w="90"/>
              <w:bottom w:type="dxa" w:w="55"/>
              <w:right w:type="dxa" w:w="90"/>
            </w:tcMar>
          </w:tcPr>
          <w:p>
            <w:r>
              <w:rPr>
                <w:b w:val="false"/>
                <w:bCs w:val="false"/>
                <w:color w:val="000000"/>
                <w:sz w:val="18"/>
                <w:szCs w:val="18"/>
              </w:rPr>
              <w:t xml:space="preserve">Single GitHub monorepo, protected main branch, pull requests with at least one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Cloud governance</w:t>
            </w:r>
          </w:p>
        </w:tc>
        <w:tc>
          <w:tcPr>
            <w:tcW w:type="dxa" w:w="6926"/>
            <w:shd w:fill="F4FAFC" w:val="clear"/>
            <w:tcMar>
              <w:top w:type="dxa" w:w="55"/>
              <w:left w:type="dxa" w:w="90"/>
              <w:bottom w:type="dxa" w:w="55"/>
              <w:right w:type="dxa" w:w="90"/>
            </w:tcMar>
          </w:tcPr>
          <w:p>
            <w:r>
              <w:rPr>
                <w:b w:val="false"/>
                <w:bCs w:val="false"/>
                <w:color w:val="000000"/>
                <w:sz w:val="18"/>
                <w:szCs w:val="18"/>
              </w:rPr>
              <w:t xml:space="preserve">One designated Azure for Students project subscription, resource-group scoped role assignments, budget alerts at 50, 75 and 90 percent</w:t>
            </w:r>
          </w:p>
        </w:tc>
      </w:tr>
      <w:tr>
        <w:tc>
          <w:tcPr>
            <w:tcW w:type="dxa" w:w="2100"/>
            <w:tcMar>
              <w:top w:type="dxa" w:w="55"/>
              <w:left w:type="dxa" w:w="90"/>
              <w:bottom w:type="dxa" w:w="55"/>
              <w:right w:type="dxa" w:w="90"/>
            </w:tcMar>
          </w:tcPr>
          <w:p>
            <w:r>
              <w:rPr>
                <w:b w:val="false"/>
                <w:bCs w:val="false"/>
                <w:color w:val="000000"/>
                <w:sz w:val="18"/>
                <w:szCs w:val="18"/>
              </w:rPr>
              <w:t xml:space="preserve">Escalation</w:t>
            </w:r>
          </w:p>
        </w:tc>
        <w:tc>
          <w:tcPr>
            <w:tcW w:type="dxa" w:w="6926"/>
            <w:tcMar>
              <w:top w:type="dxa" w:w="55"/>
              <w:left w:type="dxa" w:w="90"/>
              <w:bottom w:type="dxa" w:w="55"/>
              <w:right w:type="dxa" w:w="90"/>
            </w:tcMar>
          </w:tcPr>
          <w:p>
            <w:r>
              <w:rPr>
                <w:b w:val="false"/>
                <w:bCs w:val="false"/>
                <w:color w:val="000000"/>
                <w:sz w:val="18"/>
                <w:szCs w:val="18"/>
              </w:rPr>
              <w:t xml:space="preserve">Blockers raised at stand-up; unresolved after 48 hours they go to the supervisor</w:t>
            </w:r>
          </w:p>
        </w:tc>
      </w:tr>
    </w:tbl>
    <w:p>
      <w:pPr>
        <w:pStyle w:val="Heading1"/>
        <w:pBdr>
          <w:bottom w:val="single" w:color="21C0DA" w:sz="6"/>
        </w:pBdr>
        <w:spacing w:after="140" w:before="300"/>
      </w:pPr>
      <w:r>
        <w:rPr>
          <w:b/>
          <w:bCs/>
          <w:color w:val="0B2233"/>
          <w:sz w:val="30"/>
          <w:szCs w:val="30"/>
        </w:rPr>
        <w:t xml:space="preserve">5. Success Criteria</w:t>
      </w:r>
    </w:p>
    <w:p>
      <w:pPr>
        <w:pStyle w:val="ListParagraph"/>
        <w:numPr>
          <w:ilvl w:val="0"/>
          <w:numId w:val="3"/>
        </w:numPr>
        <w:spacing w:after="55"/>
      </w:pPr>
      <w:r>
        <w:rPr>
          <w:sz w:val="21"/>
          <w:szCs w:val="21"/>
        </w:rPr>
        <w:t xml:space="preserve">All eleven project requirements from the unit brief are implemented and demonstrable.</w:t>
      </w:r>
    </w:p>
    <w:p>
      <w:pPr>
        <w:pStyle w:val="ListParagraph"/>
        <w:numPr>
          <w:ilvl w:val="0"/>
          <w:numId w:val="3"/>
        </w:numPr>
        <w:spacing w:after="55"/>
      </w:pPr>
      <w:r>
        <w:rPr>
          <w:sz w:val="21"/>
          <w:szCs w:val="21"/>
        </w:rPr>
        <w:t xml:space="preserve">The web application can be opened and used by a marker with a seeded account, without requiring Telegram.</w:t>
      </w:r>
    </w:p>
    <w:p>
      <w:pPr>
        <w:pStyle w:val="ListParagraph"/>
        <w:numPr>
          <w:ilvl w:val="0"/>
          <w:numId w:val="3"/>
        </w:numPr>
        <w:spacing w:after="55"/>
      </w:pPr>
      <w:r>
        <w:rPr>
          <w:sz w:val="21"/>
          <w:szCs w:val="21"/>
        </w:rPr>
        <w:t xml:space="preserve">The Telegram Mini App runs the same build and is demonstrable on a physical device.</w:t>
      </w:r>
    </w:p>
    <w:p>
      <w:pPr>
        <w:pStyle w:val="ListParagraph"/>
        <w:numPr>
          <w:ilvl w:val="0"/>
          <w:numId w:val="3"/>
        </w:numPr>
        <w:spacing w:after="55"/>
      </w:pPr>
      <w:r>
        <w:rPr>
          <w:sz w:val="21"/>
          <w:szCs w:val="21"/>
        </w:rPr>
        <w:t xml:space="preserve">The AI safety evaluation suite passes with zero critical failures.</w:t>
      </w:r>
    </w:p>
    <w:p>
      <w:pPr>
        <w:pStyle w:val="ListParagraph"/>
        <w:numPr>
          <w:ilvl w:val="0"/>
          <w:numId w:val="3"/>
        </w:numPr>
        <w:spacing w:after="55"/>
      </w:pPr>
      <w:r>
        <w:rPr>
          <w:sz w:val="21"/>
          <w:szCs w:val="21"/>
        </w:rPr>
        <w:t xml:space="preserve">Every claim of completion in the Progress Report can be demonstrated live or evidenced in the repository.</w:t>
      </w:r>
    </w:p>
    <w:p>
      <w:pPr>
        <w:pStyle w:val="ListParagraph"/>
        <w:numPr>
          <w:ilvl w:val="0"/>
          <w:numId w:val="3"/>
        </w:numPr>
        <w:spacing w:after="55"/>
      </w:pPr>
      <w:r>
        <w:rPr>
          <w:sz w:val="21"/>
          <w:szCs w:val="21"/>
        </w:rPr>
        <w:t xml:space="preserve">Each member can independently explain and demonstrate the work attributed to them.</w:t>
      </w:r>
    </w:p>
    <w:p>
      <w:pPr>
        <w:pStyle w:val="Heading1"/>
        <w:pBdr>
          <w:bottom w:val="single" w:color="21C0DA" w:sz="6"/>
        </w:pBdr>
        <w:spacing w:after="140" w:before="300"/>
      </w:pPr>
      <w:r>
        <w:rPr>
          <w:b/>
          <w:bCs/>
          <w:color w:val="0B2233"/>
          <w:sz w:val="30"/>
          <w:szCs w:val="30"/>
        </w:rPr>
        <w:t xml:space="preserve">6. Document Set and Production Order</w:t>
      </w:r>
    </w:p>
    <w:p>
      <w:pPr>
        <w:spacing w:after="110"/>
      </w:pPr>
      <w:r>
        <w:rPr>
          <w:b w:val="false"/>
          <w:bCs w:val="false"/>
          <w:i w:val="false"/>
          <w:iCs w:val="false"/>
          <w:color w:val="000000"/>
          <w:sz w:val="21"/>
          <w:szCs w:val="21"/>
        </w:rPr>
        <w:t xml:space="preserve">Documents are produced and read in dependency order. Each phase depends on the phase above it being stable.</w:t>
      </w:r>
    </w:p>
    <w:p>
      <w:pPr>
        <w:spacing w:after="40" w:before="14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57375"/>
                    </a:xfrm>
                    <a:prstGeom prst="rect">
                      <a:avLst/>
                    </a:prstGeom>
                  </pic:spPr>
                </pic:pic>
              </a:graphicData>
            </a:graphic>
          </wp:inline>
        </w:drawing>
      </w:r>
    </w:p>
    <w:p>
      <w:pPr>
        <w:spacing w:after="160"/>
        <w:jc w:val="center"/>
      </w:pPr>
      <w:r>
        <w:rPr>
          <w:i/>
          <w:iCs/>
          <w:color w:val="5A6672"/>
          <w:sz w:val="17"/>
          <w:szCs w:val="17"/>
        </w:rPr>
        <w:t xml:space="preserve">Figure 1.2: Document production and reading order across five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shd w:fill="0B2233" w:val="clear"/>
            <w:tcMar>
              <w:top w:type="dxa" w:w="55"/>
              <w:left w:type="dxa" w:w="90"/>
              <w:bottom w:type="dxa" w:w="55"/>
              <w:right w:type="dxa" w:w="90"/>
            </w:tcMar>
          </w:tcPr>
          <w:p>
            <w:r>
              <w:rPr>
                <w:b/>
                <w:bCs/>
                <w:color w:val="FFFFFF"/>
                <w:sz w:val="18"/>
                <w:szCs w:val="18"/>
              </w:rPr>
              <w:t xml:space="preserve">Phase</w:t>
            </w:r>
          </w:p>
        </w:tc>
        <w:tc>
          <w:tcPr>
            <w:tcW w:type="dxa" w:w="4200"/>
            <w:shd w:fill="0B2233" w:val="clear"/>
            <w:tcMar>
              <w:top w:type="dxa" w:w="55"/>
              <w:left w:type="dxa" w:w="90"/>
              <w:bottom w:type="dxa" w:w="55"/>
              <w:right w:type="dxa" w:w="90"/>
            </w:tcMar>
          </w:tcPr>
          <w:p>
            <w:r>
              <w:rPr>
                <w:b/>
                <w:bCs/>
                <w:color w:val="FFFFFF"/>
                <w:sz w:val="18"/>
                <w:szCs w:val="18"/>
              </w:rPr>
              <w:t xml:space="preserve">Documents</w:t>
            </w:r>
          </w:p>
        </w:tc>
        <w:tc>
          <w:tcPr>
            <w:tcW w:type="dxa" w:w="3326"/>
            <w:shd w:fill="0B2233" w:val="clear"/>
            <w:tcMar>
              <w:top w:type="dxa" w:w="55"/>
              <w:left w:type="dxa" w:w="90"/>
              <w:bottom w:type="dxa" w:w="55"/>
              <w:right w:type="dxa" w:w="90"/>
            </w:tcMar>
          </w:tcPr>
          <w:p>
            <w:r>
              <w:rPr>
                <w:b/>
                <w:bCs/>
                <w:color w:val="FFFFFF"/>
                <w:sz w:val="18"/>
                <w:szCs w:val="18"/>
              </w:rPr>
              <w:t xml:space="preserve">Gate before moving on</w:t>
            </w:r>
          </w:p>
        </w:tc>
      </w:tr>
      <w:tr>
        <w:tc>
          <w:tcPr>
            <w:tcW w:type="dxa" w:w="1500"/>
            <w:tcMar>
              <w:top w:type="dxa" w:w="55"/>
              <w:left w:type="dxa" w:w="90"/>
              <w:bottom w:type="dxa" w:w="55"/>
              <w:right w:type="dxa" w:w="90"/>
            </w:tcMar>
          </w:tcPr>
          <w:p>
            <w:r>
              <w:rPr>
                <w:b w:val="false"/>
                <w:bCs w:val="false"/>
                <w:color w:val="000000"/>
                <w:sz w:val="18"/>
                <w:szCs w:val="18"/>
              </w:rPr>
              <w:t xml:space="preserve">A. Define</w:t>
            </w:r>
          </w:p>
        </w:tc>
        <w:tc>
          <w:tcPr>
            <w:tcW w:type="dxa" w:w="4200"/>
            <w:tcMar>
              <w:top w:type="dxa" w:w="55"/>
              <w:left w:type="dxa" w:w="90"/>
              <w:bottom w:type="dxa" w:w="55"/>
              <w:right w:type="dxa" w:w="90"/>
            </w:tcMar>
          </w:tcPr>
          <w:p>
            <w:r>
              <w:rPr>
                <w:b w:val="false"/>
                <w:bCs w:val="false"/>
                <w:color w:val="000000"/>
                <w:sz w:val="18"/>
                <w:szCs w:val="18"/>
              </w:rPr>
              <w:t xml:space="preserve">01 Charter, 02 PRD, 03 SRS</w:t>
            </w:r>
          </w:p>
        </w:tc>
        <w:tc>
          <w:tcPr>
            <w:tcW w:type="dxa" w:w="3326"/>
            <w:tcMar>
              <w:top w:type="dxa" w:w="55"/>
              <w:left w:type="dxa" w:w="90"/>
              <w:bottom w:type="dxa" w:w="55"/>
              <w:right w:type="dxa" w:w="90"/>
            </w:tcMar>
          </w:tcPr>
          <w:p>
            <w:r>
              <w:rPr>
                <w:b w:val="false"/>
                <w:bCs w:val="false"/>
                <w:color w:val="000000"/>
                <w:sz w:val="18"/>
                <w:szCs w:val="18"/>
              </w:rPr>
              <w:t xml:space="preserve">Scope agreed with supervisor; requirements numbered and testable</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B. Design</w:t>
            </w:r>
          </w:p>
        </w:tc>
        <w:tc>
          <w:tcPr>
            <w:tcW w:type="dxa" w:w="4200"/>
            <w:shd w:fill="F4FAFC" w:val="clear"/>
            <w:tcMar>
              <w:top w:type="dxa" w:w="55"/>
              <w:left w:type="dxa" w:w="90"/>
              <w:bottom w:type="dxa" w:w="55"/>
              <w:right w:type="dxa" w:w="90"/>
            </w:tcMar>
          </w:tcPr>
          <w:p>
            <w:r>
              <w:rPr>
                <w:b w:val="false"/>
                <w:bCs w:val="false"/>
                <w:color w:val="000000"/>
                <w:sz w:val="18"/>
                <w:szCs w:val="18"/>
              </w:rPr>
              <w:t xml:space="preserve">04 HLD, 05 ADRs, 06 Data Model, 07 API Contract, 08 UML, 09 LLD</w:t>
            </w:r>
          </w:p>
        </w:tc>
        <w:tc>
          <w:tcPr>
            <w:tcW w:type="dxa" w:w="3326"/>
            <w:shd w:fill="F4FAFC" w:val="clear"/>
            <w:tcMar>
              <w:top w:type="dxa" w:w="55"/>
              <w:left w:type="dxa" w:w="90"/>
              <w:bottom w:type="dxa" w:w="55"/>
              <w:right w:type="dxa" w:w="90"/>
            </w:tcMar>
          </w:tcPr>
          <w:p>
            <w:r>
              <w:rPr>
                <w:b w:val="false"/>
                <w:bCs w:val="false"/>
                <w:color w:val="000000"/>
                <w:sz w:val="18"/>
                <w:szCs w:val="18"/>
              </w:rPr>
              <w:t xml:space="preserve">API contract frozen so frontend and backend can build in parallel</w:t>
            </w:r>
          </w:p>
        </w:tc>
      </w:tr>
      <w:tr>
        <w:tc>
          <w:tcPr>
            <w:tcW w:type="dxa" w:w="1500"/>
            <w:tcMar>
              <w:top w:type="dxa" w:w="55"/>
              <w:left w:type="dxa" w:w="90"/>
              <w:bottom w:type="dxa" w:w="55"/>
              <w:right w:type="dxa" w:w="90"/>
            </w:tcMar>
          </w:tcPr>
          <w:p>
            <w:r>
              <w:rPr>
                <w:b w:val="false"/>
                <w:bCs w:val="false"/>
                <w:color w:val="000000"/>
                <w:sz w:val="18"/>
                <w:szCs w:val="18"/>
              </w:rPr>
              <w:t xml:space="preserve">C. Assure</w:t>
            </w:r>
          </w:p>
        </w:tc>
        <w:tc>
          <w:tcPr>
            <w:tcW w:type="dxa" w:w="4200"/>
            <w:tcMar>
              <w:top w:type="dxa" w:w="55"/>
              <w:left w:type="dxa" w:w="90"/>
              <w:bottom w:type="dxa" w:w="55"/>
              <w:right w:type="dxa" w:w="90"/>
            </w:tcMar>
          </w:tcPr>
          <w:p>
            <w:r>
              <w:rPr>
                <w:b w:val="false"/>
                <w:bCs w:val="false"/>
                <w:color w:val="000000"/>
                <w:sz w:val="18"/>
                <w:szCs w:val="18"/>
              </w:rPr>
              <w:t xml:space="preserve">10 AI and LLMOps, 11 Safety Privacy Ethics, 12 Licensing Register</w:t>
            </w:r>
          </w:p>
        </w:tc>
        <w:tc>
          <w:tcPr>
            <w:tcW w:type="dxa" w:w="3326"/>
            <w:tcMar>
              <w:top w:type="dxa" w:w="55"/>
              <w:left w:type="dxa" w:w="90"/>
              <w:bottom w:type="dxa" w:w="55"/>
              <w:right w:type="dxa" w:w="90"/>
            </w:tcMar>
          </w:tcPr>
          <w:p>
            <w:r>
              <w:rPr>
                <w:b w:val="false"/>
                <w:bCs w:val="false"/>
                <w:color w:val="000000"/>
                <w:sz w:val="18"/>
                <w:szCs w:val="18"/>
              </w:rPr>
              <w:t xml:space="preserve">Guardrails specified and every external source licence-cleared</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D. Build and run</w:t>
            </w:r>
          </w:p>
        </w:tc>
        <w:tc>
          <w:tcPr>
            <w:tcW w:type="dxa" w:w="4200"/>
            <w:shd w:fill="F4FAFC" w:val="clear"/>
            <w:tcMar>
              <w:top w:type="dxa" w:w="55"/>
              <w:left w:type="dxa" w:w="90"/>
              <w:bottom w:type="dxa" w:w="55"/>
              <w:right w:type="dxa" w:w="90"/>
            </w:tcMar>
          </w:tcPr>
          <w:p>
            <w:r>
              <w:rPr>
                <w:b w:val="false"/>
                <w:bCs w:val="false"/>
                <w:color w:val="000000"/>
                <w:sz w:val="18"/>
                <w:szCs w:val="18"/>
              </w:rPr>
              <w:t xml:space="preserve">13 Implementation Document, 14 Test Plan, 15 Runbook</w:t>
            </w:r>
          </w:p>
        </w:tc>
        <w:tc>
          <w:tcPr>
            <w:tcW w:type="dxa" w:w="3326"/>
            <w:shd w:fill="F4FAFC" w:val="clear"/>
            <w:tcMar>
              <w:top w:type="dxa" w:w="55"/>
              <w:left w:type="dxa" w:w="90"/>
              <w:bottom w:type="dxa" w:w="55"/>
              <w:right w:type="dxa" w:w="90"/>
            </w:tcMar>
          </w:tcPr>
          <w:p>
            <w:r>
              <w:rPr>
                <w:b w:val="false"/>
                <w:bCs w:val="false"/>
                <w:color w:val="000000"/>
                <w:sz w:val="18"/>
                <w:szCs w:val="18"/>
              </w:rPr>
              <w:t xml:space="preserve">Environments live, pipeline green, evidence capture underway</w:t>
            </w:r>
          </w:p>
        </w:tc>
      </w:tr>
      <w:tr>
        <w:tc>
          <w:tcPr>
            <w:tcW w:type="dxa" w:w="1500"/>
            <w:tcMar>
              <w:top w:type="dxa" w:w="55"/>
              <w:left w:type="dxa" w:w="90"/>
              <w:bottom w:type="dxa" w:w="55"/>
              <w:right w:type="dxa" w:w="90"/>
            </w:tcMar>
          </w:tcPr>
          <w:p>
            <w:r>
              <w:rPr>
                <w:b w:val="false"/>
                <w:bCs w:val="false"/>
                <w:color w:val="000000"/>
                <w:sz w:val="18"/>
                <w:szCs w:val="18"/>
              </w:rPr>
              <w:t xml:space="preserve">E. Report</w:t>
            </w:r>
          </w:p>
        </w:tc>
        <w:tc>
          <w:tcPr>
            <w:tcW w:type="dxa" w:w="4200"/>
            <w:tcMar>
              <w:top w:type="dxa" w:w="55"/>
              <w:left w:type="dxa" w:w="90"/>
              <w:bottom w:type="dxa" w:w="55"/>
              <w:right w:type="dxa" w:w="90"/>
            </w:tcMar>
          </w:tcPr>
          <w:p>
            <w:r>
              <w:rPr>
                <w:b w:val="false"/>
                <w:bCs w:val="false"/>
                <w:color w:val="000000"/>
                <w:sz w:val="18"/>
                <w:szCs w:val="18"/>
              </w:rPr>
              <w:t xml:space="preserve">16 Diary, 17 Progress Report, 18 User Manual, 19 Final Report</w:t>
            </w:r>
          </w:p>
        </w:tc>
        <w:tc>
          <w:tcPr>
            <w:tcW w:type="dxa" w:w="3326"/>
            <w:tcMar>
              <w:top w:type="dxa" w:w="55"/>
              <w:left w:type="dxa" w:w="90"/>
              <w:bottom w:type="dxa" w:w="55"/>
              <w:right w:type="dxa" w:w="90"/>
            </w:tcMar>
          </w:tcPr>
          <w:p>
            <w:r>
              <w:rPr>
                <w:b w:val="false"/>
                <w:bCs w:val="false"/>
                <w:color w:val="000000"/>
                <w:sz w:val="18"/>
                <w:szCs w:val="18"/>
              </w:rPr>
              <w:t xml:space="preserve">Submission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921b369777330aa7311cbf62e426885b1f3dd5d2.png"/><Relationship Id="rId11" Type="http://schemas.openxmlformats.org/officeDocument/2006/relationships/image" Target="media/a9edd1edc824ef5457c10f66cc55e0c905251f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2026-07-29T03:15:50.074Z</dcterms:created>
  <dcterms:modified xsi:type="dcterms:W3CDTF">2026-07-29T03:15:50.074Z</dcterms:modified>
</cp:coreProperties>
</file>

<file path=docProps/custom.xml><?xml version="1.0" encoding="utf-8"?>
<Properties xmlns="http://schemas.openxmlformats.org/officeDocument/2006/custom-properties" xmlns:vt="http://schemas.openxmlformats.org/officeDocument/2006/docPropsVTypes"/>
</file>