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drawing>
          <wp:inline distT="0" distB="0" distL="0" distR="0">
            <wp:extent cx="3143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1C0DA"/>
          <w:sz w:val="20"/>
          <w:szCs w:val="20"/>
        </w:rPr>
        <w:t xml:space="preserve">AQF-03</w:t>
      </w:r>
    </w:p>
    <w:p>
      <w:pPr>
        <w:spacing w:after="120"/>
        <w:jc w:val="center"/>
      </w:pPr>
      <w:r>
        <w:rPr>
          <w:b/>
          <w:bCs/>
          <w:color w:val="0B2233"/>
          <w:sz w:val="40"/>
          <w:szCs w:val="40"/>
        </w:rPr>
        <w:t xml:space="preserve">Software Requirements Specification</w:t>
      </w:r>
    </w:p>
    <w:p>
      <w:pPr>
        <w:spacing w:after="400"/>
        <w:jc w:val="center"/>
      </w:pPr>
      <w:r>
        <w:rPr>
          <w:color w:val="5A6672"/>
          <w:sz w:val="22"/>
          <w:szCs w:val="22"/>
        </w:rPr>
        <w:t xml:space="preserve">Numbered, testable functional and non-functional requirements</w:t>
      </w:r>
    </w:p>
    <w:p>
      <w:pPr>
        <w:jc w:val="center"/>
      </w:pPr>
      <w:r>
        <w:rPr>
          <w:b/>
          <w:bCs/>
          <w:color w:val="0A8CAB"/>
          <w:sz w:val="20"/>
          <w:szCs w:val="20"/>
        </w:rPr>
        <w:t xml:space="preserve">AquaZeroFit, an AquaZero product</w:t>
      </w:r>
    </w:p>
    <w:p>
      <w:pPr>
        <w:spacing w:after="60"/>
        <w:jc w:val="center"/>
      </w:pPr>
      <w:r>
        <w:rPr>
          <w:color w:val="5A6672"/>
          <w:sz w:val="19"/>
          <w:szCs w:val="19"/>
        </w:rPr>
        <w:t xml:space="preserve">NIT3003 IT Capstone Project, Project 5</w:t>
      </w:r>
    </w:p>
    <w:p>
      <w:pPr>
        <w:jc w:val="center"/>
      </w:pPr>
      <w:r>
        <w:rPr>
          <w:color w:val="5A6672"/>
          <w:sz w:val="19"/>
          <w:szCs w:val="19"/>
        </w:rPr>
        <w:t xml:space="preserve">Group 15, Victoria University, Melbourne, Australia</w:t>
      </w:r>
    </w:p>
    <w:p>
      <w:pPr>
        <w:spacing w:before="240"/>
        <w:jc w:val="center"/>
      </w:pPr>
      <w:r>
        <w:rPr>
          <w:color w:val="5A6672"/>
          <w:sz w:val="18"/>
          <w:szCs w:val="18"/>
        </w:rPr>
        <w:t xml:space="preserve">Version 2.0, July 2026</w:t>
      </w:r>
    </w:p>
    <w:p>
      <w:r>
        <w:br w:type="page"/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AQF-03 Software Requirements Specification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(AquaZeroFit rebrand, diagrams added)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Convert every PRD feature into requirements that can be built and verified. This document is the source of the traceability matrix.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Williams-Fulwood, Technical Lead and Software Architect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 La (Frontend), Victor Hong (Data and Quality)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[To be completed by the team]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supervisor review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initial draft as VitalAI. v2.0 rebranded to AquaZeroFit, diagrams added, roles assigned, sequencing applied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1. Introduction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1.1 Purpose and readership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specification states what AquaZeroFit must do in terms precise enough to implement and to test. Each requirement carries an identifier, a priority under MoSCoW, and acceptance criteria. Design detail belongs in AQF-04 and AQF-09, not here.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1.2 System decomposition</w:t>
      </w:r>
    </w:p>
    <w:p>
      <w:pPr>
        <w:spacing w:after="40" w:before="140"/>
        <w:jc w:val="center"/>
      </w:pPr>
      <w:r>
        <w:drawing>
          <wp:inline distT="0" distB="0" distL="0" distR="0">
            <wp:extent cx="4381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672"/>
          <w:sz w:val="17"/>
          <w:szCs w:val="17"/>
        </w:rPr>
        <w:t xml:space="preserve">Figure 3.1: Module decomposition across presentation, application and data layers, with owning member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1.3 Requirement identifier scheme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FR-xxx functional requirement, NFR-xxx non-functional requirement, CON-xxx constraint.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Priority: Must, Should, Could, Won't (this release).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Every FR traces upward to a PRD feature (F1 to F12) and downward to at least one test case identifier in AQF-14.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2. Module: Authentication and Profile (F1, F2)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800"/>
        <w:gridCol w:w="4426"/>
      </w:tblGrid>
      <w:tr>
        <w:trPr>
          <w:tblHeader/>
        </w:trPr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4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FR-001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register a user with email and password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created, verification email dispatched, password rejected below twelve characters or without mixed classes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authenticate a Telegram Mini App user from signed launch data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Signature verified server-side; tampered or stale data rejected with a distinct error code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FR-003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issue an access token and a single-use rotating refresh token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Reuse of a consumed refresh token is rejected and the family is revoked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FR-004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a web user to link a Telegram identity to an existing account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identities resolve to one user record and one progress history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FR-005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capture and store a wellness profile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Weight, height, age, goal, dietary preferences, activity level and exercise experience persisted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FR-006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validate profile values against safe ranges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 30 to 300 kg, height 100 to 250 cm, age 16 to 100; out-of-range values rejected with field-level messages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FR-007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recompute derived targets when profile inputs change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Targets endpoint reflects the new values on the next read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FR-008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the user to export and to delete all personal data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is machine readable; deletion removes or irreversibly anonymises all personal records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3. Module: Food Logging and Nutrition (F3, F4)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800"/>
        <w:gridCol w:w="4426"/>
      </w:tblGrid>
      <w:tr>
        <w:trPr>
          <w:tblHeader/>
        </w:trPr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4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FR-010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manual meal entry with food, portion, meal type and timestamp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appears in the day view and updates daily totals immediately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FR-011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provide food search over the nutrition database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Results returned in under 500 ms for a cached query; source of each record is identifiable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FR-012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accept a meal photograph and return identified foods, portions and estimated nutrition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JPEG, PNG or HEIC up to 10 MB; result available within 8 seconds at the 95th percentile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FR-013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require confirmation or correction before committing a photo-derived log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log is written until the user confirms; corrections are stored for evaluation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FR-014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compute calories and macronutrients arithmetically from mapped food records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language model performs the arithmetic; results are reproducible for the same inputs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FR-015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track water intake in user-selected increments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total shown against target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FR-016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present a nutrition dashboard of calories, protein, carbohydrate, fat, water and weight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Values match the sum of the day's logs; net calories account for logged exercise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FR-017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resolve the current day using the client timezone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log made at 23:50 local time appears on the correct local day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4. Module: Recommendation and Training (F5, F6, F7)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800"/>
        <w:gridCol w:w="4426"/>
      </w:tblGrid>
      <w:tr>
        <w:trPr>
          <w:tblHeader/>
        </w:trPr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4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FR-020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generate meal suggestions from remaining targets, preferences and allergies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suggestion contains a declared allergen; output validates against the meal schema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FR-021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never propose a daily calorie target below the configured safety floor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Clamping occurs server-side and attaches an advisory flag visible in the interface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FR-022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generate a weekly home training plan from level, equipment, goal and time budget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contains only exercises the user can perform with declared equipment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FR-023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express progression as iteration-indexed configuration rather than hard-coded logic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Progression rules are data rows and can be inspected and tested without code change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FR-024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present a daily workout with descriptions, images or demonstration media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exercise in the session has at least a description and one media asset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FR-025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constrained substitution of an exercise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replacement targets the same primary muscle group and respects equipment constraints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FR-026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enforce rest-day and intensity rules for beginner users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two consecutive high-intensity sessions are scheduled for a beginner profile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FR-027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adapt targets and plans from measured progress on a weekly cycle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Adaptation is bounded by the same safety limits as initial generation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5. Module: Progress and Assistant (F8, F9)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800"/>
        <w:gridCol w:w="4426"/>
      </w:tblGrid>
      <w:tr>
        <w:trPr>
          <w:tblHeader/>
        </w:trPr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4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FR-030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record weight entries with one canonical entry per day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second entry for the same day updates rather than duplicates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FR-031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present weight change, calorie trends and training history over a selectable range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Charts match the underlying records for the selected range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FR-032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award achievements against published criteria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Criteria are data-defined; unlocking is reproducible from the user's records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FR-033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assistant shall answer nutrition, fitness and wellness questions using the user's own context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Responses reference the user's targets and recent logs where relevant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FR-034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assistant shall refuse medical, diagnostic, medication and eating disorder treatment questions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Refusal returns a supportive signpost; the adversarial evaluation set passes with zero critical failures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FR-035</w:t>
            </w:r>
          </w:p>
        </w:tc>
        <w:tc>
          <w:tcPr>
            <w:tcW w:type="dxa" w:w="3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assistant shall display a persistent wellness-only disclaimer</w:t>
            </w:r>
          </w:p>
        </w:tc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Disclaimer is visible without scrolling on every assistant screen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FR-036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assistant shall allow a user to report a response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is stored with the conversation reference and surfaces in the triage queue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6.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200"/>
        <w:gridCol w:w="2726"/>
      </w:tblGrid>
      <w:tr>
        <w:trPr>
          <w:tblHeader/>
        </w:trPr>
        <w:tc>
          <w:tcPr>
            <w:tcW w:type="dxa" w:w="8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NFR-01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CRUD endpoints respond within 500 ms at the 95th percentile under expected load</w:t>
            </w:r>
          </w:p>
        </w:tc>
        <w:tc>
          <w:tcPr>
            <w:tcW w:type="dxa" w:w="2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test with recorded percentiles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NFR-02</w:t>
            </w:r>
          </w:p>
        </w:tc>
        <w:tc>
          <w:tcPr>
            <w:tcW w:type="dxa" w:w="1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 first token within 3 seconds at the 95th percentile</w:t>
            </w:r>
          </w:p>
        </w:tc>
        <w:tc>
          <w:tcPr>
            <w:tcW w:type="dxa" w:w="2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Instrumented timing in telemetry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NFR-03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logging, dashboards and existing plans remain functional during a total AI outage</w:t>
            </w:r>
          </w:p>
        </w:tc>
        <w:tc>
          <w:tcPr>
            <w:tcW w:type="dxa" w:w="2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Fault injection: disable the gateway and run the smoke suite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NFR-04</w:t>
            </w:r>
          </w:p>
        </w:tc>
        <w:tc>
          <w:tcPr>
            <w:tcW w:type="dxa" w:w="1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secret appears in source, logs or client bundles</w:t>
            </w:r>
          </w:p>
        </w:tc>
        <w:tc>
          <w:tcPr>
            <w:tcW w:type="dxa" w:w="2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secret scan in continuous integration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NFR-05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user cannot read or modify another user's records</w:t>
            </w:r>
          </w:p>
        </w:tc>
        <w:tc>
          <w:tcPr>
            <w:tcW w:type="dxa" w:w="2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Authorisation matrix tests across roles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NFR-06</w:t>
            </w:r>
          </w:p>
        </w:tc>
        <w:tc>
          <w:tcPr>
            <w:tcW w:type="dxa" w:w="1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and deletion complete within the published service window</w:t>
            </w:r>
          </w:p>
        </w:tc>
        <w:tc>
          <w:tcPr>
            <w:tcW w:type="dxa" w:w="2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 test with evidence capture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NFR-07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primary flows conform to WCAG 2.1 Level AA</w:t>
            </w:r>
          </w:p>
        </w:tc>
        <w:tc>
          <w:tcPr>
            <w:tcW w:type="dxa" w:w="2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scan plus manual keyboard and screen-reader pass</w:t>
            </w:r>
          </w:p>
        </w:tc>
      </w:tr>
      <w:tr>
        <w:tc>
          <w:tcPr>
            <w:tcW w:type="dxa" w:w="8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NFR-08</w:t>
            </w:r>
          </w:p>
        </w:tc>
        <w:tc>
          <w:tcPr>
            <w:tcW w:type="dxa" w:w="13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4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 thresholds met on services and safety-critical modules</w:t>
            </w:r>
          </w:p>
        </w:tc>
        <w:tc>
          <w:tcPr>
            <w:tcW w:type="dxa" w:w="27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 report enforced as a pipeline gate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NFR-09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same build runs as a browser application and inside Telegram</w:t>
            </w:r>
          </w:p>
        </w:tc>
        <w:tc>
          <w:tcPr>
            <w:tcW w:type="dxa" w:w="27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targets exercised in the release smoke test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7. Traceability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traceability matrix is maintained in the repository at /docs/traceability.csv and reproduced in AQF-19 Final Report. Each row links: brief requirement, PRD feature, FR identifier, design section, implementing module, and test case identifier. No requirement may be marked complete without a test case reference and demonstrable evidence.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2"/>
        <w:sz w:val="15"/>
        <w:szCs w:val="15"/>
      </w:rPr>
      <w:t xml:space="preserve">AquaZeroFit  |  AquaZero  |  NIT3003 Group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32369395cfd7c02229296103a36accede67334.png"/><Relationship Id="rId10" Type="http://schemas.openxmlformats.org/officeDocument/2006/relationships/image" Target="media/5140cd0f558c2d90a9c72bd1a2afbb485699ad9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2026-07-29T03:15:50.522Z</dcterms:created>
  <dcterms:modified xsi:type="dcterms:W3CDTF">2026-07-29T03:15:50.522Z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