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3143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57425"/>
                    </a:xfrm>
                    <a:prstGeom prst="rect">
                      <a:avLst/>
                    </a:prstGeom>
                  </pic:spPr>
                </pic:pic>
              </a:graphicData>
            </a:graphic>
          </wp:inline>
        </w:drawing>
      </w:r>
    </w:p>
    <w:p>
      <w:pPr>
        <w:spacing w:after="80"/>
        <w:jc w:val="center"/>
      </w:pPr>
      <w:r>
        <w:rPr>
          <w:b/>
          <w:bCs/>
          <w:color w:val="21C0DA"/>
          <w:sz w:val="20"/>
          <w:szCs w:val="20"/>
        </w:rPr>
        <w:t xml:space="preserve">AQF-04</w:t>
      </w:r>
    </w:p>
    <w:p>
      <w:pPr>
        <w:spacing w:after="120"/>
        <w:jc w:val="center"/>
      </w:pPr>
      <w:r>
        <w:rPr>
          <w:b/>
          <w:bCs/>
          <w:color w:val="0B2233"/>
          <w:sz w:val="40"/>
          <w:szCs w:val="40"/>
        </w:rPr>
        <w:t xml:space="preserve">System Architecture (High-Level Design)</w:t>
      </w:r>
    </w:p>
    <w:p>
      <w:pPr>
        <w:spacing w:after="400"/>
        <w:jc w:val="center"/>
      </w:pPr>
      <w:r>
        <w:rPr>
          <w:color w:val="5A6672"/>
          <w:sz w:val="22"/>
          <w:szCs w:val="22"/>
        </w:rPr>
        <w:t xml:space="preserve">C4 views, Azure platform, AI gateway and security architecture</w:t>
      </w:r>
    </w:p>
    <w:p>
      <w:pPr>
        <w:jc w:val="center"/>
      </w:pPr>
      <w:r>
        <w:rPr>
          <w:b/>
          <w:bCs/>
          <w:color w:val="0A8CAB"/>
          <w:sz w:val="20"/>
          <w:szCs w:val="20"/>
        </w:rPr>
        <w:t xml:space="preserve">AquaZeroFit, an AquaZero product</w:t>
      </w:r>
    </w:p>
    <w:p>
      <w:pPr>
        <w:spacing w:after="60"/>
        <w:jc w:val="center"/>
      </w:pPr>
      <w:r>
        <w:rPr>
          <w:color w:val="5A6672"/>
          <w:sz w:val="19"/>
          <w:szCs w:val="19"/>
        </w:rPr>
        <w:t xml:space="preserve">NIT3003 IT Capstone Project, Project 5</w:t>
      </w:r>
    </w:p>
    <w:p>
      <w:pPr>
        <w:jc w:val="center"/>
      </w:pPr>
      <w:r>
        <w:rPr>
          <w:color w:val="5A6672"/>
          <w:sz w:val="19"/>
          <w:szCs w:val="19"/>
        </w:rPr>
        <w:t xml:space="preserve">Group 15, Victoria University, Melbourne, Australia</w:t>
      </w:r>
    </w:p>
    <w:p>
      <w:pPr>
        <w:spacing w:before="240"/>
        <w:jc w:val="center"/>
      </w:pPr>
      <w:r>
        <w:rPr>
          <w:color w:val="5A6672"/>
          <w:sz w:val="18"/>
          <w:szCs w:val="18"/>
        </w:rPr>
        <w:t xml:space="preserve">Version 2.0, July 2026</w:t>
      </w:r>
    </w:p>
    <w:p>
      <w:r>
        <w:br w:type="page"/>
      </w:r>
    </w:p>
    <w:p>
      <w:pPr>
        <w:pStyle w:val="Heading1"/>
        <w:pBdr>
          <w:bottom w:val="single" w:color="21C0DA" w:sz="6"/>
        </w:pBdr>
        <w:spacing w:after="140" w:before="300"/>
      </w:pPr>
      <w:r>
        <w:rPr>
          <w:b/>
          <w:bCs/>
          <w:color w:val="0B2233"/>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Field</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Document</w:t>
            </w:r>
          </w:p>
        </w:tc>
        <w:tc>
          <w:tcPr>
            <w:tcW w:type="dxa" w:w="6926"/>
            <w:tcMar>
              <w:top w:type="dxa" w:w="55"/>
              <w:left w:type="dxa" w:w="90"/>
              <w:bottom w:type="dxa" w:w="55"/>
              <w:right w:type="dxa" w:w="90"/>
            </w:tcMar>
          </w:tcPr>
          <w:p>
            <w:r>
              <w:rPr>
                <w:b w:val="false"/>
                <w:bCs w:val="false"/>
                <w:color w:val="000000"/>
                <w:sz w:val="18"/>
                <w:szCs w:val="18"/>
              </w:rPr>
              <w:t xml:space="preserve">AQF-04 System Architecture (High-Level Design)</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Version</w:t>
            </w:r>
          </w:p>
        </w:tc>
        <w:tc>
          <w:tcPr>
            <w:tcW w:type="dxa" w:w="6926"/>
            <w:shd w:fill="F4FAFC" w:val="clear"/>
            <w:tcMar>
              <w:top w:type="dxa" w:w="55"/>
              <w:left w:type="dxa" w:w="90"/>
              <w:bottom w:type="dxa" w:w="55"/>
              <w:right w:type="dxa" w:w="90"/>
            </w:tcMar>
          </w:tcPr>
          <w:p>
            <w:r>
              <w:rPr>
                <w:b w:val="false"/>
                <w:bCs w:val="false"/>
                <w:color w:val="000000"/>
                <w:sz w:val="18"/>
                <w:szCs w:val="18"/>
              </w:rPr>
              <w:t xml:space="preserve">2.0 (AquaZeroFit rebrand, diagrams added)</w:t>
            </w:r>
          </w:p>
        </w:tc>
      </w:tr>
      <w:tr>
        <w:tc>
          <w:tcPr>
            <w:tcW w:type="dxa" w:w="2100"/>
            <w:tcMar>
              <w:top w:type="dxa" w:w="55"/>
              <w:left w:type="dxa" w:w="90"/>
              <w:bottom w:type="dxa" w:w="55"/>
              <w:right w:type="dxa" w:w="90"/>
            </w:tcMar>
          </w:tcPr>
          <w:p>
            <w:r>
              <w:rPr>
                <w:b w:val="false"/>
                <w:bCs w:val="false"/>
                <w:color w:val="000000"/>
                <w:sz w:val="18"/>
                <w:szCs w:val="18"/>
              </w:rPr>
              <w:t xml:space="preserve">Purpose</w:t>
            </w:r>
          </w:p>
        </w:tc>
        <w:tc>
          <w:tcPr>
            <w:tcW w:type="dxa" w:w="6926"/>
            <w:tcMar>
              <w:top w:type="dxa" w:w="55"/>
              <w:left w:type="dxa" w:w="90"/>
              <w:bottom w:type="dxa" w:w="55"/>
              <w:right w:type="dxa" w:w="90"/>
            </w:tcMar>
          </w:tcPr>
          <w:p>
            <w:r>
              <w:rPr>
                <w:b w:val="false"/>
                <w:bCs w:val="false"/>
                <w:color w:val="000000"/>
                <w:sz w:val="18"/>
                <w:szCs w:val="18"/>
              </w:rPr>
              <w:t xml:space="preserve">Translate the requirements into a system structure: what the containers are, how they communicate, which platform services are used, and why.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Document owner</w:t>
            </w:r>
          </w:p>
        </w:tc>
        <w:tc>
          <w:tcPr>
            <w:tcW w:type="dxa" w:w="6926"/>
            <w:shd w:fill="F4FAFC" w:val="clear"/>
            <w:tcMar>
              <w:top w:type="dxa" w:w="55"/>
              <w:left w:type="dxa" w:w="90"/>
              <w:bottom w:type="dxa" w:w="55"/>
              <w:right w:type="dxa" w:w="90"/>
            </w:tcMar>
          </w:tcPr>
          <w:p>
            <w:r>
              <w:rPr>
                <w:b w:val="false"/>
                <w:bCs w:val="false"/>
                <w:color w:val="000000"/>
                <w:sz w:val="18"/>
                <w:szCs w:val="18"/>
              </w:rPr>
              <w:t xml:space="preserve">Babatundji Williams-Fulwood, Technical Lead and Software Architect</w:t>
            </w:r>
          </w:p>
        </w:tc>
      </w:tr>
      <w:tr>
        <w:tc>
          <w:tcPr>
            <w:tcW w:type="dxa" w:w="2100"/>
            <w:tcMar>
              <w:top w:type="dxa" w:w="55"/>
              <w:left w:type="dxa" w:w="90"/>
              <w:bottom w:type="dxa" w:w="55"/>
              <w:right w:type="dxa" w:w="90"/>
            </w:tcMar>
          </w:tcPr>
          <w:p>
            <w:r>
              <w:rPr>
                <w:b w:val="false"/>
                <w:bCs w:val="false"/>
                <w:color w:val="000000"/>
                <w:sz w:val="18"/>
                <w:szCs w:val="18"/>
              </w:rPr>
              <w:t xml:space="preserve">Contributors</w:t>
            </w:r>
          </w:p>
        </w:tc>
        <w:tc>
          <w:tcPr>
            <w:tcW w:type="dxa" w:w="6926"/>
            <w:tcMar>
              <w:top w:type="dxa" w:w="55"/>
              <w:left w:type="dxa" w:w="90"/>
              <w:bottom w:type="dxa" w:w="55"/>
              <w:right w:type="dxa" w:w="90"/>
            </w:tcMar>
          </w:tcPr>
          <w:p>
            <w:r>
              <w:rPr>
                <w:b w:val="false"/>
                <w:bCs w:val="false"/>
                <w:color w:val="000000"/>
                <w:sz w:val="18"/>
                <w:szCs w:val="18"/>
              </w:rPr>
              <w:t xml:space="preserve">Eric La (Frontend), Victor Hong (Data and Quality)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Supervisor</w:t>
            </w:r>
          </w:p>
        </w:tc>
        <w:tc>
          <w:tcPr>
            <w:tcW w:type="dxa" w:w="6926"/>
            <w:shd w:fill="F4FAFC" w:val="clear"/>
            <w:tcMar>
              <w:top w:type="dxa" w:w="55"/>
              <w:left w:type="dxa" w:w="90"/>
              <w:bottom w:type="dxa" w:w="55"/>
              <w:right w:type="dxa" w:w="90"/>
            </w:tcMar>
          </w:tcPr>
          <w:p>
            <w:r>
              <w:rPr>
                <w:b w:val="false"/>
                <w:bCs w:val="false"/>
                <w:color w:val="000000"/>
                <w:sz w:val="18"/>
                <w:szCs w:val="18"/>
              </w:rPr>
              <w:t xml:space="preserve">[To be completed by the team]</w:t>
            </w:r>
          </w:p>
        </w:tc>
      </w:tr>
      <w:tr>
        <w:tc>
          <w:tcPr>
            <w:tcW w:type="dxa" w:w="2100"/>
            <w:tcMar>
              <w:top w:type="dxa" w:w="55"/>
              <w:left w:type="dxa" w:w="90"/>
              <w:bottom w:type="dxa" w:w="55"/>
              <w:right w:type="dxa" w:w="90"/>
            </w:tcMar>
          </w:tcPr>
          <w:p>
            <w:r>
              <w:rPr>
                <w:b w:val="false"/>
                <w:bCs w:val="false"/>
                <w:color w:val="000000"/>
                <w:sz w:val="18"/>
                <w:szCs w:val="18"/>
              </w:rPr>
              <w:t xml:space="preserve">Status</w:t>
            </w:r>
          </w:p>
        </w:tc>
        <w:tc>
          <w:tcPr>
            <w:tcW w:type="dxa" w:w="6926"/>
            <w:tcMar>
              <w:top w:type="dxa" w:w="55"/>
              <w:left w:type="dxa" w:w="90"/>
              <w:bottom w:type="dxa" w:w="55"/>
              <w:right w:type="dxa" w:w="90"/>
            </w:tcMar>
          </w:tcPr>
          <w:p>
            <w:r>
              <w:rPr>
                <w:b w:val="false"/>
                <w:bCs w:val="false"/>
                <w:color w:val="000000"/>
                <w:sz w:val="18"/>
                <w:szCs w:val="18"/>
              </w:rPr>
              <w:t xml:space="preserve">Draft for supervisor review</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Change history</w:t>
            </w:r>
          </w:p>
        </w:tc>
        <w:tc>
          <w:tcPr>
            <w:tcW w:type="dxa" w:w="6926"/>
            <w:shd w:fill="F4FAFC" w:val="clear"/>
            <w:tcMar>
              <w:top w:type="dxa" w:w="55"/>
              <w:left w:type="dxa" w:w="90"/>
              <w:bottom w:type="dxa" w:w="55"/>
              <w:right w:type="dxa" w:w="90"/>
            </w:tcMar>
          </w:tcPr>
          <w:p>
            <w:r>
              <w:rPr>
                <w:b w:val="false"/>
                <w:bCs w:val="false"/>
                <w:color w:val="000000"/>
                <w:sz w:val="18"/>
                <w:szCs w:val="18"/>
              </w:rPr>
              <w:t xml:space="preserve">v1.0 initial draft as VitalAI. v2.0 rebranded to AquaZeroFit, diagrams added, roles assigned, sequencing applied</w:t>
            </w:r>
          </w:p>
        </w:tc>
      </w:tr>
    </w:tbl>
    <w:p>
      <w:pPr>
        <w:pStyle w:val="Heading1"/>
        <w:pBdr>
          <w:bottom w:val="single" w:color="21C0DA" w:sz="6"/>
        </w:pBdr>
        <w:spacing w:after="140" w:before="300"/>
      </w:pPr>
      <w:r>
        <w:rPr>
          <w:b/>
          <w:bCs/>
          <w:color w:val="0B2233"/>
          <w:sz w:val="30"/>
          <w:szCs w:val="30"/>
        </w:rPr>
        <w:t xml:space="preserve">1. Purpose and Scope</w:t>
      </w:r>
    </w:p>
    <w:p>
      <w:pPr>
        <w:spacing w:after="110"/>
      </w:pPr>
      <w:r>
        <w:rPr>
          <w:b w:val="false"/>
          <w:bCs w:val="false"/>
          <w:i w:val="false"/>
          <w:iCs w:val="false"/>
          <w:color w:val="000000"/>
          <w:sz w:val="21"/>
          <w:szCs w:val="21"/>
        </w:rPr>
        <w:t xml:space="preserve">This document defines the architecture of AquaZeroFit at C4 Context and Container level. It covers the dual delivery model, the Azure serverless backend, the multi-provider AI gateway, data storage, security and deployment. Implementation-level detail is in AQF-09; individual decisions with their trade-offs are in AQF-05.</w:t>
      </w:r>
    </w:p>
    <w:p>
      <w:pPr>
        <w:pStyle w:val="Heading1"/>
        <w:pBdr>
          <w:bottom w:val="single" w:color="21C0DA" w:sz="6"/>
        </w:pBdr>
        <w:spacing w:after="140" w:before="300"/>
      </w:pPr>
      <w:r>
        <w:rPr>
          <w:b/>
          <w:bCs/>
          <w:color w:val="0B2233"/>
          <w:sz w:val="30"/>
          <w:szCs w:val="30"/>
        </w:rPr>
        <w:t xml:space="preserve">2. Context View</w:t>
      </w:r>
    </w:p>
    <w:p>
      <w:pPr>
        <w:spacing w:after="40" w:before="140"/>
        <w:jc w:val="center"/>
      </w:pPr>
      <w:r>
        <w:drawing>
          <wp:inline distT="0" distB="0" distL="0" distR="0">
            <wp:extent cx="42862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714500"/>
                    </a:xfrm>
                    <a:prstGeom prst="rect">
                      <a:avLst/>
                    </a:prstGeom>
                  </pic:spPr>
                </pic:pic>
              </a:graphicData>
            </a:graphic>
          </wp:inline>
        </w:drawing>
      </w:r>
    </w:p>
    <w:p>
      <w:pPr>
        <w:spacing w:after="160"/>
        <w:jc w:val="center"/>
      </w:pPr>
      <w:r>
        <w:rPr>
          <w:i/>
          <w:iCs/>
          <w:color w:val="5A6672"/>
          <w:sz w:val="17"/>
          <w:szCs w:val="17"/>
        </w:rPr>
        <w:t xml:space="preserve">Figure 4.1: C4 Level 1, system context and external dependencies</w:t>
      </w:r>
    </w:p>
    <w:p>
      <w:pPr>
        <w:pStyle w:val="ListParagraph"/>
        <w:numPr>
          <w:ilvl w:val="0"/>
          <w:numId w:val="2"/>
        </w:numPr>
        <w:spacing w:after="55"/>
      </w:pPr>
      <w:r>
        <w:rPr>
          <w:sz w:val="21"/>
          <w:szCs w:val="21"/>
        </w:rPr>
        <w:t xml:space="preserve">Web users authenticate with email and password. This is the assessed surface and never depends on Telegram availability.</w:t>
      </w:r>
    </w:p>
    <w:p>
      <w:pPr>
        <w:pStyle w:val="ListParagraph"/>
        <w:numPr>
          <w:ilvl w:val="0"/>
          <w:numId w:val="2"/>
        </w:numPr>
        <w:spacing w:after="55"/>
      </w:pPr>
      <w:r>
        <w:rPr>
          <w:sz w:val="21"/>
          <w:szCs w:val="21"/>
        </w:rPr>
        <w:t xml:space="preserve">Telegram users arrive with signed launch data validated server-side before any trust is extended.</w:t>
      </w:r>
    </w:p>
    <w:p>
      <w:pPr>
        <w:pStyle w:val="ListParagraph"/>
        <w:numPr>
          <w:ilvl w:val="0"/>
          <w:numId w:val="2"/>
        </w:numPr>
        <w:spacing w:after="55"/>
      </w:pPr>
      <w:r>
        <w:rPr>
          <w:sz w:val="21"/>
          <w:szCs w:val="21"/>
        </w:rPr>
        <w:t xml:space="preserve">AI providers are reached only through the gateway, never directly from feature code or from the browser.</w:t>
      </w:r>
    </w:p>
    <w:p>
      <w:pPr>
        <w:pStyle w:val="ListParagraph"/>
        <w:numPr>
          <w:ilvl w:val="0"/>
          <w:numId w:val="2"/>
        </w:numPr>
        <w:spacing w:after="55"/>
      </w:pPr>
      <w:r>
        <w:rPr>
          <w:sz w:val="21"/>
          <w:szCs w:val="21"/>
        </w:rPr>
        <w:t xml:space="preserve">Food composition and exercise corpus data are ingested once and are not runtime dependencies.</w:t>
      </w:r>
    </w:p>
    <w:p>
      <w:pPr>
        <w:pStyle w:val="Heading1"/>
        <w:pBdr>
          <w:bottom w:val="single" w:color="21C0DA" w:sz="6"/>
        </w:pBdr>
        <w:spacing w:after="140" w:before="300"/>
      </w:pPr>
      <w:r>
        <w:rPr>
          <w:b/>
          <w:bCs/>
          <w:color w:val="0B2233"/>
          <w:sz w:val="30"/>
          <w:szCs w:val="30"/>
        </w:rPr>
        <w:t xml:space="preserve">3. Container View</w:t>
      </w:r>
    </w:p>
    <w:p>
      <w:pPr>
        <w:spacing w:after="40" w:before="140"/>
        <w:jc w:val="center"/>
      </w:pPr>
      <w:r>
        <w:drawing>
          <wp:inline distT="0" distB="0" distL="0" distR="0">
            <wp:extent cx="4476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33625"/>
                    </a:xfrm>
                    <a:prstGeom prst="rect">
                      <a:avLst/>
                    </a:prstGeom>
                  </pic:spPr>
                </pic:pic>
              </a:graphicData>
            </a:graphic>
          </wp:inline>
        </w:drawing>
      </w:r>
    </w:p>
    <w:p>
      <w:pPr>
        <w:spacing w:after="160"/>
        <w:jc w:val="center"/>
      </w:pPr>
      <w:r>
        <w:rPr>
          <w:i/>
          <w:iCs/>
          <w:color w:val="5A6672"/>
          <w:sz w:val="17"/>
          <w:szCs w:val="17"/>
        </w:rPr>
        <w:t xml:space="preserve">Figure 4.2: C4 Level 2, containers within the Azure subscription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426"/>
      </w:tblGrid>
      <w:tr>
        <w:trPr>
          <w:tblHeader/>
        </w:trPr>
        <w:tc>
          <w:tcPr>
            <w:tcW w:type="dxa" w:w="1700"/>
            <w:shd w:fill="0B2233" w:val="clear"/>
            <w:tcMar>
              <w:top w:type="dxa" w:w="55"/>
              <w:left w:type="dxa" w:w="90"/>
              <w:bottom w:type="dxa" w:w="55"/>
              <w:right w:type="dxa" w:w="90"/>
            </w:tcMar>
          </w:tcPr>
          <w:p>
            <w:r>
              <w:rPr>
                <w:b/>
                <w:bCs/>
                <w:color w:val="FFFFFF"/>
                <w:sz w:val="18"/>
                <w:szCs w:val="18"/>
              </w:rPr>
              <w:t xml:space="preserve">Container</w:t>
            </w:r>
          </w:p>
        </w:tc>
        <w:tc>
          <w:tcPr>
            <w:tcW w:type="dxa" w:w="2900"/>
            <w:shd w:fill="0B2233" w:val="clear"/>
            <w:tcMar>
              <w:top w:type="dxa" w:w="55"/>
              <w:left w:type="dxa" w:w="90"/>
              <w:bottom w:type="dxa" w:w="55"/>
              <w:right w:type="dxa" w:w="90"/>
            </w:tcMar>
          </w:tcPr>
          <w:p>
            <w:r>
              <w:rPr>
                <w:b/>
                <w:bCs/>
                <w:color w:val="FFFFFF"/>
                <w:sz w:val="18"/>
                <w:szCs w:val="18"/>
              </w:rPr>
              <w:t xml:space="preserve">Technology</w:t>
            </w:r>
          </w:p>
        </w:tc>
        <w:tc>
          <w:tcPr>
            <w:tcW w:type="dxa" w:w="4426"/>
            <w:shd w:fill="0B2233" w:val="clear"/>
            <w:tcMar>
              <w:top w:type="dxa" w:w="55"/>
              <w:left w:type="dxa" w:w="90"/>
              <w:bottom w:type="dxa" w:w="55"/>
              <w:right w:type="dxa" w:w="90"/>
            </w:tcMar>
          </w:tcPr>
          <w:p>
            <w:r>
              <w:rPr>
                <w:b/>
                <w:bCs/>
                <w:color w:val="FFFFFF"/>
                <w:sz w:val="18"/>
                <w:szCs w:val="18"/>
              </w:rPr>
              <w:t xml:space="preserve">Responsibility</w:t>
            </w:r>
          </w:p>
        </w:tc>
      </w:tr>
      <w:tr>
        <w:tc>
          <w:tcPr>
            <w:tcW w:type="dxa" w:w="1700"/>
            <w:tcMar>
              <w:top w:type="dxa" w:w="55"/>
              <w:left w:type="dxa" w:w="90"/>
              <w:bottom w:type="dxa" w:w="55"/>
              <w:right w:type="dxa" w:w="90"/>
            </w:tcMar>
          </w:tcPr>
          <w:p>
            <w:r>
              <w:rPr>
                <w:b w:val="false"/>
                <w:bCs w:val="false"/>
                <w:color w:val="000000"/>
                <w:sz w:val="18"/>
                <w:szCs w:val="18"/>
              </w:rPr>
              <w:t xml:space="preserve">Frontend</w:t>
            </w:r>
          </w:p>
        </w:tc>
        <w:tc>
          <w:tcPr>
            <w:tcW w:type="dxa" w:w="2900"/>
            <w:tcMar>
              <w:top w:type="dxa" w:w="55"/>
              <w:left w:type="dxa" w:w="90"/>
              <w:bottom w:type="dxa" w:w="55"/>
              <w:right w:type="dxa" w:w="90"/>
            </w:tcMar>
          </w:tcPr>
          <w:p>
            <w:r>
              <w:rPr>
                <w:b w:val="false"/>
                <w:bCs w:val="false"/>
                <w:color w:val="000000"/>
                <w:sz w:val="18"/>
                <w:szCs w:val="18"/>
              </w:rPr>
              <w:t xml:space="preserve">React 18, TypeScript, Vite, hosted on Azure Static Web Apps (free tier)</w:t>
            </w:r>
          </w:p>
        </w:tc>
        <w:tc>
          <w:tcPr>
            <w:tcW w:type="dxa" w:w="4426"/>
            <w:tcMar>
              <w:top w:type="dxa" w:w="55"/>
              <w:left w:type="dxa" w:w="90"/>
              <w:bottom w:type="dxa" w:w="55"/>
              <w:right w:type="dxa" w:w="90"/>
            </w:tcMar>
          </w:tcPr>
          <w:p>
            <w:r>
              <w:rPr>
                <w:b w:val="false"/>
                <w:bCs w:val="false"/>
                <w:color w:val="000000"/>
                <w:sz w:val="18"/>
                <w:szCs w:val="18"/>
              </w:rPr>
              <w:t xml:space="preserve">Both delivery targets from one build; free TLS and custom domain, which the Mini App requires</w:t>
            </w:r>
          </w:p>
        </w:tc>
      </w:tr>
      <w:tr>
        <w:tc>
          <w:tcPr>
            <w:tcW w:type="dxa" w:w="1700"/>
            <w:shd w:fill="F4FAFC" w:val="clear"/>
            <w:tcMar>
              <w:top w:type="dxa" w:w="55"/>
              <w:left w:type="dxa" w:w="90"/>
              <w:bottom w:type="dxa" w:w="55"/>
              <w:right w:type="dxa" w:w="90"/>
            </w:tcMar>
          </w:tcPr>
          <w:p>
            <w:r>
              <w:rPr>
                <w:b w:val="false"/>
                <w:bCs w:val="false"/>
                <w:color w:val="000000"/>
                <w:sz w:val="18"/>
                <w:szCs w:val="18"/>
              </w:rPr>
              <w:t xml:space="preserve">API and jobs</w:t>
            </w:r>
          </w:p>
        </w:tc>
        <w:tc>
          <w:tcPr>
            <w:tcW w:type="dxa" w:w="2900"/>
            <w:shd w:fill="F4FAFC" w:val="clear"/>
            <w:tcMar>
              <w:top w:type="dxa" w:w="55"/>
              <w:left w:type="dxa" w:w="90"/>
              <w:bottom w:type="dxa" w:w="55"/>
              <w:right w:type="dxa" w:w="90"/>
            </w:tcMar>
          </w:tcPr>
          <w:p>
            <w:r>
              <w:rPr>
                <w:b w:val="false"/>
                <w:bCs w:val="false"/>
                <w:color w:val="000000"/>
                <w:sz w:val="18"/>
                <w:szCs w:val="18"/>
              </w:rPr>
              <w:t xml:space="preserve">Azure Functions, Consumption plan, Node.js and TypeScript</w:t>
            </w:r>
          </w:p>
        </w:tc>
        <w:tc>
          <w:tcPr>
            <w:tcW w:type="dxa" w:w="4426"/>
            <w:shd w:fill="F4FAFC" w:val="clear"/>
            <w:tcMar>
              <w:top w:type="dxa" w:w="55"/>
              <w:left w:type="dxa" w:w="90"/>
              <w:bottom w:type="dxa" w:w="55"/>
              <w:right w:type="dxa" w:w="90"/>
            </w:tcMar>
          </w:tcPr>
          <w:p>
            <w:r>
              <w:rPr>
                <w:b w:val="false"/>
                <w:bCs w:val="false"/>
                <w:color w:val="000000"/>
                <w:sz w:val="18"/>
                <w:szCs w:val="18"/>
              </w:rPr>
              <w:t xml:space="preserve">HTTP endpoints, queue-triggered inference, timer-triggered adaptation</w:t>
            </w:r>
          </w:p>
        </w:tc>
      </w:tr>
      <w:tr>
        <w:tc>
          <w:tcPr>
            <w:tcW w:type="dxa" w:w="1700"/>
            <w:tcMar>
              <w:top w:type="dxa" w:w="55"/>
              <w:left w:type="dxa" w:w="90"/>
              <w:bottom w:type="dxa" w:w="55"/>
              <w:right w:type="dxa" w:w="90"/>
            </w:tcMar>
          </w:tcPr>
          <w:p>
            <w:r>
              <w:rPr>
                <w:b w:val="false"/>
                <w:bCs w:val="false"/>
                <w:color w:val="000000"/>
                <w:sz w:val="18"/>
                <w:szCs w:val="18"/>
              </w:rPr>
              <w:t xml:space="preserve">Primary data</w:t>
            </w:r>
          </w:p>
        </w:tc>
        <w:tc>
          <w:tcPr>
            <w:tcW w:type="dxa" w:w="2900"/>
            <w:tcMar>
              <w:top w:type="dxa" w:w="55"/>
              <w:left w:type="dxa" w:w="90"/>
              <w:bottom w:type="dxa" w:w="55"/>
              <w:right w:type="dxa" w:w="90"/>
            </w:tcMar>
          </w:tcPr>
          <w:p>
            <w:r>
              <w:rPr>
                <w:b w:val="false"/>
                <w:bCs w:val="false"/>
                <w:color w:val="000000"/>
                <w:sz w:val="18"/>
                <w:szCs w:val="18"/>
              </w:rPr>
              <w:t xml:space="preserve">Azure Cosmos DB, lifetime free tier</w:t>
            </w:r>
          </w:p>
        </w:tc>
        <w:tc>
          <w:tcPr>
            <w:tcW w:type="dxa" w:w="4426"/>
            <w:tcMar>
              <w:top w:type="dxa" w:w="55"/>
              <w:left w:type="dxa" w:w="90"/>
              <w:bottom w:type="dxa" w:w="55"/>
              <w:right w:type="dxa" w:w="90"/>
            </w:tcMar>
          </w:tcPr>
          <w:p>
            <w:r>
              <w:rPr>
                <w:b w:val="false"/>
                <w:bCs w:val="false"/>
                <w:color w:val="000000"/>
                <w:sz w:val="18"/>
                <w:szCs w:val="18"/>
              </w:rPr>
              <w:t xml:space="preserve">Profiles, logs, plans, chat, credit ledger, shared content</w:t>
            </w:r>
          </w:p>
        </w:tc>
      </w:tr>
      <w:tr>
        <w:tc>
          <w:tcPr>
            <w:tcW w:type="dxa" w:w="1700"/>
            <w:shd w:fill="F4FAFC" w:val="clear"/>
            <w:tcMar>
              <w:top w:type="dxa" w:w="55"/>
              <w:left w:type="dxa" w:w="90"/>
              <w:bottom w:type="dxa" w:w="55"/>
              <w:right w:type="dxa" w:w="90"/>
            </w:tcMar>
          </w:tcPr>
          <w:p>
            <w:r>
              <w:rPr>
                <w:b w:val="false"/>
                <w:bCs w:val="false"/>
                <w:color w:val="000000"/>
                <w:sz w:val="18"/>
                <w:szCs w:val="18"/>
              </w:rPr>
              <w:t xml:space="preserve">Object storage and queue</w:t>
            </w:r>
          </w:p>
        </w:tc>
        <w:tc>
          <w:tcPr>
            <w:tcW w:type="dxa" w:w="2900"/>
            <w:shd w:fill="F4FAFC" w:val="clear"/>
            <w:tcMar>
              <w:top w:type="dxa" w:w="55"/>
              <w:left w:type="dxa" w:w="90"/>
              <w:bottom w:type="dxa" w:w="55"/>
              <w:right w:type="dxa" w:w="90"/>
            </w:tcMar>
          </w:tcPr>
          <w:p>
            <w:r>
              <w:rPr>
                <w:b w:val="false"/>
                <w:bCs w:val="false"/>
                <w:color w:val="000000"/>
                <w:sz w:val="18"/>
                <w:szCs w:val="18"/>
              </w:rPr>
              <w:t xml:space="preserve">Azure Blob Storage and Storage Queue</w:t>
            </w:r>
          </w:p>
        </w:tc>
        <w:tc>
          <w:tcPr>
            <w:tcW w:type="dxa" w:w="4426"/>
            <w:shd w:fill="F4FAFC" w:val="clear"/>
            <w:tcMar>
              <w:top w:type="dxa" w:w="55"/>
              <w:left w:type="dxa" w:w="90"/>
              <w:bottom w:type="dxa" w:w="55"/>
              <w:right w:type="dxa" w:w="90"/>
            </w:tcMar>
          </w:tcPr>
          <w:p>
            <w:r>
              <w:rPr>
                <w:b w:val="false"/>
                <w:bCs w:val="false"/>
                <w:color w:val="000000"/>
                <w:sz w:val="18"/>
                <w:szCs w:val="18"/>
              </w:rPr>
              <w:t xml:space="preserve">Meal photographs and asynchronous job buffering</w:t>
            </w:r>
          </w:p>
        </w:tc>
      </w:tr>
      <w:tr>
        <w:tc>
          <w:tcPr>
            <w:tcW w:type="dxa" w:w="1700"/>
            <w:tcMar>
              <w:top w:type="dxa" w:w="55"/>
              <w:left w:type="dxa" w:w="90"/>
              <w:bottom w:type="dxa" w:w="55"/>
              <w:right w:type="dxa" w:w="90"/>
            </w:tcMar>
          </w:tcPr>
          <w:p>
            <w:r>
              <w:rPr>
                <w:b w:val="false"/>
                <w:bCs w:val="false"/>
                <w:color w:val="000000"/>
                <w:sz w:val="18"/>
                <w:szCs w:val="18"/>
              </w:rPr>
              <w:t xml:space="preserve">AI gateway</w:t>
            </w:r>
          </w:p>
        </w:tc>
        <w:tc>
          <w:tcPr>
            <w:tcW w:type="dxa" w:w="2900"/>
            <w:tcMar>
              <w:top w:type="dxa" w:w="55"/>
              <w:left w:type="dxa" w:w="90"/>
              <w:bottom w:type="dxa" w:w="55"/>
              <w:right w:type="dxa" w:w="90"/>
            </w:tcMar>
          </w:tcPr>
          <w:p>
            <w:r>
              <w:rPr>
                <w:b w:val="false"/>
                <w:bCs w:val="false"/>
                <w:color w:val="000000"/>
                <w:sz w:val="18"/>
                <w:szCs w:val="18"/>
              </w:rPr>
              <w:t xml:space="preserve">LiteLLM Proxy on Azure Container Apps, scale to zero</w:t>
            </w:r>
          </w:p>
        </w:tc>
        <w:tc>
          <w:tcPr>
            <w:tcW w:type="dxa" w:w="4426"/>
            <w:tcMar>
              <w:top w:type="dxa" w:w="55"/>
              <w:left w:type="dxa" w:w="90"/>
              <w:bottom w:type="dxa" w:w="55"/>
              <w:right w:type="dxa" w:w="90"/>
            </w:tcMar>
          </w:tcPr>
          <w:p>
            <w:r>
              <w:rPr>
                <w:b w:val="false"/>
                <w:bCs w:val="false"/>
                <w:color w:val="000000"/>
                <w:sz w:val="18"/>
                <w:szCs w:val="18"/>
              </w:rPr>
              <w:t xml:space="preserve">One OpenAI-format endpoint fronting Groq, Gemini, Ollama Cloud and NVIDIA</w:t>
            </w:r>
          </w:p>
        </w:tc>
      </w:tr>
      <w:tr>
        <w:tc>
          <w:tcPr>
            <w:tcW w:type="dxa" w:w="1700"/>
            <w:shd w:fill="F4FAFC" w:val="clear"/>
            <w:tcMar>
              <w:top w:type="dxa" w:w="55"/>
              <w:left w:type="dxa" w:w="90"/>
              <w:bottom w:type="dxa" w:w="55"/>
              <w:right w:type="dxa" w:w="90"/>
            </w:tcMar>
          </w:tcPr>
          <w:p>
            <w:r>
              <w:rPr>
                <w:b w:val="false"/>
                <w:bCs w:val="false"/>
                <w:color w:val="000000"/>
                <w:sz w:val="18"/>
                <w:szCs w:val="18"/>
              </w:rPr>
              <w:t xml:space="preserve">Retrieval</w:t>
            </w:r>
          </w:p>
        </w:tc>
        <w:tc>
          <w:tcPr>
            <w:tcW w:type="dxa" w:w="2900"/>
            <w:shd w:fill="F4FAFC" w:val="clear"/>
            <w:tcMar>
              <w:top w:type="dxa" w:w="55"/>
              <w:left w:type="dxa" w:w="90"/>
              <w:bottom w:type="dxa" w:w="55"/>
              <w:right w:type="dxa" w:w="90"/>
            </w:tcMar>
          </w:tcPr>
          <w:p>
            <w:r>
              <w:rPr>
                <w:b w:val="false"/>
                <w:bCs w:val="false"/>
                <w:color w:val="000000"/>
                <w:sz w:val="18"/>
                <w:szCs w:val="18"/>
              </w:rPr>
              <w:t xml:space="preserve">Azure AI Search, free tier</w:t>
            </w:r>
          </w:p>
        </w:tc>
        <w:tc>
          <w:tcPr>
            <w:tcW w:type="dxa" w:w="4426"/>
            <w:shd w:fill="F4FAFC" w:val="clear"/>
            <w:tcMar>
              <w:top w:type="dxa" w:w="55"/>
              <w:left w:type="dxa" w:w="90"/>
              <w:bottom w:type="dxa" w:w="55"/>
              <w:right w:type="dxa" w:w="90"/>
            </w:tcMar>
          </w:tcPr>
          <w:p>
            <w:r>
              <w:rPr>
                <w:b w:val="false"/>
                <w:bCs w:val="false"/>
                <w:color w:val="000000"/>
                <w:sz w:val="18"/>
                <w:szCs w:val="18"/>
              </w:rPr>
              <w:t xml:space="preserve">Semantic retrieval over recipes and the exercise corpus</w:t>
            </w:r>
          </w:p>
        </w:tc>
      </w:tr>
      <w:tr>
        <w:tc>
          <w:tcPr>
            <w:tcW w:type="dxa" w:w="1700"/>
            <w:tcMar>
              <w:top w:type="dxa" w:w="55"/>
              <w:left w:type="dxa" w:w="90"/>
              <w:bottom w:type="dxa" w:w="55"/>
              <w:right w:type="dxa" w:w="90"/>
            </w:tcMar>
          </w:tcPr>
          <w:p>
            <w:r>
              <w:rPr>
                <w:b w:val="false"/>
                <w:bCs w:val="false"/>
                <w:color w:val="000000"/>
                <w:sz w:val="18"/>
                <w:szCs w:val="18"/>
              </w:rPr>
              <w:t xml:space="preserve">Secrets</w:t>
            </w:r>
          </w:p>
        </w:tc>
        <w:tc>
          <w:tcPr>
            <w:tcW w:type="dxa" w:w="2900"/>
            <w:tcMar>
              <w:top w:type="dxa" w:w="55"/>
              <w:left w:type="dxa" w:w="90"/>
              <w:bottom w:type="dxa" w:w="55"/>
              <w:right w:type="dxa" w:w="90"/>
            </w:tcMar>
          </w:tcPr>
          <w:p>
            <w:r>
              <w:rPr>
                <w:b w:val="false"/>
                <w:bCs w:val="false"/>
                <w:color w:val="000000"/>
                <w:sz w:val="18"/>
                <w:szCs w:val="18"/>
              </w:rPr>
              <w:t xml:space="preserve">Azure Key Vault with Managed Identity</w:t>
            </w:r>
          </w:p>
        </w:tc>
        <w:tc>
          <w:tcPr>
            <w:tcW w:type="dxa" w:w="4426"/>
            <w:tcMar>
              <w:top w:type="dxa" w:w="55"/>
              <w:left w:type="dxa" w:w="90"/>
              <w:bottom w:type="dxa" w:w="55"/>
              <w:right w:type="dxa" w:w="90"/>
            </w:tcMar>
          </w:tcPr>
          <w:p>
            <w:r>
              <w:rPr>
                <w:b w:val="false"/>
                <w:bCs w:val="false"/>
                <w:color w:val="000000"/>
                <w:sz w:val="18"/>
                <w:szCs w:val="18"/>
              </w:rPr>
              <w:t xml:space="preserve">All provider keys, the bot token and signing keys</w:t>
            </w:r>
          </w:p>
        </w:tc>
      </w:tr>
      <w:tr>
        <w:tc>
          <w:tcPr>
            <w:tcW w:type="dxa" w:w="1700"/>
            <w:shd w:fill="F4FAFC" w:val="clear"/>
            <w:tcMar>
              <w:top w:type="dxa" w:w="55"/>
              <w:left w:type="dxa" w:w="90"/>
              <w:bottom w:type="dxa" w:w="55"/>
              <w:right w:type="dxa" w:w="90"/>
            </w:tcMar>
          </w:tcPr>
          <w:p>
            <w:r>
              <w:rPr>
                <w:b w:val="false"/>
                <w:bCs w:val="false"/>
                <w:color w:val="000000"/>
                <w:sz w:val="18"/>
                <w:szCs w:val="18"/>
              </w:rPr>
              <w:t xml:space="preserve">Observability</w:t>
            </w:r>
          </w:p>
        </w:tc>
        <w:tc>
          <w:tcPr>
            <w:tcW w:type="dxa" w:w="2900"/>
            <w:shd w:fill="F4FAFC" w:val="clear"/>
            <w:tcMar>
              <w:top w:type="dxa" w:w="55"/>
              <w:left w:type="dxa" w:w="90"/>
              <w:bottom w:type="dxa" w:w="55"/>
              <w:right w:type="dxa" w:w="90"/>
            </w:tcMar>
          </w:tcPr>
          <w:p>
            <w:r>
              <w:rPr>
                <w:b w:val="false"/>
                <w:bCs w:val="false"/>
                <w:color w:val="000000"/>
                <w:sz w:val="18"/>
                <w:szCs w:val="18"/>
              </w:rPr>
              <w:t xml:space="preserve">Application Insights and Azure Monitor</w:t>
            </w:r>
          </w:p>
        </w:tc>
        <w:tc>
          <w:tcPr>
            <w:tcW w:type="dxa" w:w="4426"/>
            <w:shd w:fill="F4FAFC" w:val="clear"/>
            <w:tcMar>
              <w:top w:type="dxa" w:w="55"/>
              <w:left w:type="dxa" w:w="90"/>
              <w:bottom w:type="dxa" w:w="55"/>
              <w:right w:type="dxa" w:w="90"/>
            </w:tcMar>
          </w:tcPr>
          <w:p>
            <w:r>
              <w:rPr>
                <w:b w:val="false"/>
                <w:bCs w:val="false"/>
                <w:color w:val="000000"/>
                <w:sz w:val="18"/>
                <w:szCs w:val="18"/>
              </w:rPr>
              <w:t xml:space="preserve">Latency, failures, queue depth, token spend, guardrail triggers, budgets</w:t>
            </w:r>
          </w:p>
        </w:tc>
      </w:tr>
    </w:tbl>
    <w:p>
      <w:pPr>
        <w:pStyle w:val="Heading1"/>
        <w:pBdr>
          <w:bottom w:val="single" w:color="21C0DA" w:sz="6"/>
        </w:pBdr>
        <w:spacing w:after="140" w:before="300"/>
      </w:pPr>
      <w:r>
        <w:rPr>
          <w:b/>
          <w:bCs/>
          <w:color w:val="0B2233"/>
          <w:sz w:val="30"/>
          <w:szCs w:val="30"/>
        </w:rPr>
        <w:t xml:space="preserve">4. Dual Delivery Model</w:t>
      </w:r>
    </w:p>
    <w:p>
      <w:pPr>
        <w:spacing w:after="110"/>
      </w:pPr>
      <w:r>
        <w:rPr>
          <w:b w:val="false"/>
          <w:bCs w:val="false"/>
          <w:i w:val="false"/>
          <w:iCs w:val="false"/>
          <w:color w:val="000000"/>
          <w:sz w:val="21"/>
          <w:szCs w:val="21"/>
        </w:rPr>
        <w:t xml:space="preserve">One React codebase produces two targets. At bootstrap the application detects whether it is running inside Telegram. In the browser it renders the AquaZero design system directly; inside Telegram it additionally binds the client theme variables and uses native controls.</w:t>
      </w:r>
    </w:p>
    <w:p>
      <w:pPr>
        <w:shd w:fill="F2F6F8" w:val="clear"/>
        <w:spacing w:after="20"/>
      </w:pPr>
      <w:r>
        <w:rPr>
          <w:rFonts w:ascii="Consolas" w:cs="Consolas" w:eastAsia="Consolas" w:hAnsi="Consolas"/>
          <w:sz w:val="17"/>
          <w:szCs w:val="17"/>
        </w:rPr>
        <w:t xml:space="preserve">isTMA()  -&gt;  false : responsive web target  (assessed surface, seeded marker account)</w:t>
      </w:r>
    </w:p>
    <w:p>
      <w:pPr>
        <w:shd w:fill="F2F6F8" w:val="clear"/>
        <w:spacing w:after="20"/>
      </w:pPr>
      <w:r>
        <w:rPr>
          <w:rFonts w:ascii="Consolas" w:cs="Consolas" w:eastAsia="Consolas" w:hAnsi="Consolas"/>
          <w:sz w:val="17"/>
          <w:szCs w:val="17"/>
        </w:rPr>
        <w:t xml:space="preserve">         -&gt;  true  : Telegram Mini App      (native controls, theme binding, haptics)</w:t>
      </w:r>
    </w:p>
    <w:p>
      <w:pPr>
        <w:shd w:fill="F2F6F8" w:val="clear"/>
        <w:spacing w:after="20"/>
      </w:pPr>
      <w:r>
        <w:rPr>
          <w:rFonts w:ascii="Consolas" w:cs="Consolas" w:eastAsia="Consolas" w:hAnsi="Consolas"/>
          <w:sz w:val="17"/>
          <w:szCs w:val="17"/>
        </w:rPr>
        <w:t xml:space="preserve">shared: routing, state, API client, design tokens, business logic, accessibility</w:t>
      </w:r>
    </w:p>
    <w:p>
      <w:pPr>
        <w:spacing w:after="110"/>
      </w:pPr>
      <w:r>
        <w:rPr>
          <w:b w:val="false"/>
          <w:bCs w:val="false"/>
          <w:i w:val="false"/>
          <w:iCs w:val="false"/>
          <w:color w:val="000000"/>
          <w:sz w:val="21"/>
          <w:szCs w:val="21"/>
        </w:rPr>
        <w:t xml:space="preserve">Rationale: a Telegram-only build would make assessment dependent on the marker having Telegram installed and on the bot registration behaving on demonstration day. The web target removes that risk while the Mini App target delivers the distribution advantage.</w:t>
      </w:r>
    </w:p>
    <w:p>
      <w:pPr>
        <w:pStyle w:val="Heading1"/>
        <w:pBdr>
          <w:bottom w:val="single" w:color="21C0DA" w:sz="6"/>
        </w:pBdr>
        <w:spacing w:after="140" w:before="300"/>
      </w:pPr>
      <w:r>
        <w:rPr>
          <w:b/>
          <w:bCs/>
          <w:color w:val="0B2233"/>
          <w:sz w:val="30"/>
          <w:szCs w:val="30"/>
        </w:rPr>
        <w:t xml:space="preserve">5. AI Gateway</w:t>
      </w:r>
    </w:p>
    <w:p>
      <w:pPr>
        <w:spacing w:after="40" w:before="140"/>
        <w:jc w:val="center"/>
      </w:pPr>
      <w:r>
        <w:drawing>
          <wp:inline distT="0" distB="0" distL="0" distR="0">
            <wp:extent cx="4381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752600"/>
                    </a:xfrm>
                    <a:prstGeom prst="rect">
                      <a:avLst/>
                    </a:prstGeom>
                  </pic:spPr>
                </pic:pic>
              </a:graphicData>
            </a:graphic>
          </wp:inline>
        </w:drawing>
      </w:r>
    </w:p>
    <w:p>
      <w:pPr>
        <w:spacing w:after="160"/>
        <w:jc w:val="center"/>
      </w:pPr>
      <w:r>
        <w:rPr>
          <w:i/>
          <w:iCs/>
          <w:color w:val="5A6672"/>
          <w:sz w:val="17"/>
          <w:szCs w:val="17"/>
        </w:rPr>
        <w:t xml:space="preserve">Figure 4.3: AI gateway, policy in our code and routing in configuration</w:t>
      </w:r>
    </w:p>
    <w:p>
      <w:pPr>
        <w:pStyle w:val="Heading2"/>
        <w:spacing w:after="100" w:before="220"/>
      </w:pPr>
      <w:r>
        <w:rPr>
          <w:b/>
          <w:bCs/>
          <w:color w:val="0A8CAB"/>
          <w:sz w:val="25"/>
          <w:szCs w:val="25"/>
        </w:rPr>
        <w:t xml:space="preserve">5.1 Provider routing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200"/>
        <w:gridCol w:w="3126"/>
      </w:tblGrid>
      <w:tr>
        <w:trPr>
          <w:tblHeader/>
        </w:trPr>
        <w:tc>
          <w:tcPr>
            <w:tcW w:type="dxa" w:w="2000"/>
            <w:shd w:fill="0B2233" w:val="clear"/>
            <w:tcMar>
              <w:top w:type="dxa" w:w="55"/>
              <w:left w:type="dxa" w:w="90"/>
              <w:bottom w:type="dxa" w:w="55"/>
              <w:right w:type="dxa" w:w="90"/>
            </w:tcMar>
          </w:tcPr>
          <w:p>
            <w:r>
              <w:rPr>
                <w:b/>
                <w:bCs/>
                <w:color w:val="FFFFFF"/>
                <w:sz w:val="18"/>
                <w:szCs w:val="18"/>
              </w:rPr>
              <w:t xml:space="preserve">Task</w:t>
            </w:r>
          </w:p>
        </w:tc>
        <w:tc>
          <w:tcPr>
            <w:tcW w:type="dxa" w:w="1700"/>
            <w:shd w:fill="0B2233" w:val="clear"/>
            <w:tcMar>
              <w:top w:type="dxa" w:w="55"/>
              <w:left w:type="dxa" w:w="90"/>
              <w:bottom w:type="dxa" w:w="55"/>
              <w:right w:type="dxa" w:w="90"/>
            </w:tcMar>
          </w:tcPr>
          <w:p>
            <w:r>
              <w:rPr>
                <w:b/>
                <w:bCs/>
                <w:color w:val="FFFFFF"/>
                <w:sz w:val="18"/>
                <w:szCs w:val="18"/>
              </w:rPr>
              <w:t xml:space="preserve">Primary lane</w:t>
            </w:r>
          </w:p>
        </w:tc>
        <w:tc>
          <w:tcPr>
            <w:tcW w:type="dxa" w:w="2200"/>
            <w:shd w:fill="0B2233" w:val="clear"/>
            <w:tcMar>
              <w:top w:type="dxa" w:w="55"/>
              <w:left w:type="dxa" w:w="90"/>
              <w:bottom w:type="dxa" w:w="55"/>
              <w:right w:type="dxa" w:w="90"/>
            </w:tcMar>
          </w:tcPr>
          <w:p>
            <w:r>
              <w:rPr>
                <w:b/>
                <w:bCs/>
                <w:color w:val="FFFFFF"/>
                <w:sz w:val="18"/>
                <w:szCs w:val="18"/>
              </w:rPr>
              <w:t xml:space="preserve">Fallback</w:t>
            </w:r>
          </w:p>
        </w:tc>
        <w:tc>
          <w:tcPr>
            <w:tcW w:type="dxa" w:w="3126"/>
            <w:shd w:fill="0B2233" w:val="clear"/>
            <w:tcMar>
              <w:top w:type="dxa" w:w="55"/>
              <w:left w:type="dxa" w:w="90"/>
              <w:bottom w:type="dxa" w:w="55"/>
              <w:right w:type="dxa" w:w="90"/>
            </w:tcMar>
          </w:tcPr>
          <w:p>
            <w:r>
              <w:rPr>
                <w:b/>
                <w:bCs/>
                <w:color w:val="FFFFFF"/>
                <w:sz w:val="18"/>
                <w:szCs w:val="18"/>
              </w:rPr>
              <w:t xml:space="preserve">Reason</w:t>
            </w:r>
          </w:p>
        </w:tc>
      </w:tr>
      <w:tr>
        <w:tc>
          <w:tcPr>
            <w:tcW w:type="dxa" w:w="2000"/>
            <w:tcMar>
              <w:top w:type="dxa" w:w="55"/>
              <w:left w:type="dxa" w:w="90"/>
              <w:bottom w:type="dxa" w:w="55"/>
              <w:right w:type="dxa" w:w="90"/>
            </w:tcMar>
          </w:tcPr>
          <w:p>
            <w:r>
              <w:rPr>
                <w:b w:val="false"/>
                <w:bCs w:val="false"/>
                <w:color w:val="000000"/>
                <w:sz w:val="18"/>
                <w:szCs w:val="18"/>
              </w:rPr>
              <w:t xml:space="preserve">Meal photograph analysis</w:t>
            </w:r>
          </w:p>
        </w:tc>
        <w:tc>
          <w:tcPr>
            <w:tcW w:type="dxa" w:w="1700"/>
            <w:tcMar>
              <w:top w:type="dxa" w:w="55"/>
              <w:left w:type="dxa" w:w="90"/>
              <w:bottom w:type="dxa" w:w="55"/>
              <w:right w:type="dxa" w:w="90"/>
            </w:tcMar>
          </w:tcPr>
          <w:p>
            <w:r>
              <w:rPr>
                <w:b w:val="false"/>
                <w:bCs w:val="false"/>
                <w:color w:val="000000"/>
                <w:sz w:val="18"/>
                <w:szCs w:val="18"/>
              </w:rPr>
              <w:t xml:space="preserve">Gemini</w:t>
            </w:r>
          </w:p>
        </w:tc>
        <w:tc>
          <w:tcPr>
            <w:tcW w:type="dxa" w:w="2200"/>
            <w:tcMar>
              <w:top w:type="dxa" w:w="55"/>
              <w:left w:type="dxa" w:w="90"/>
              <w:bottom w:type="dxa" w:w="55"/>
              <w:right w:type="dxa" w:w="90"/>
            </w:tcMar>
          </w:tcPr>
          <w:p>
            <w:r>
              <w:rPr>
                <w:b w:val="false"/>
                <w:bCs w:val="false"/>
                <w:color w:val="000000"/>
                <w:sz w:val="18"/>
                <w:szCs w:val="18"/>
              </w:rPr>
              <w:t xml:space="preserve">NVIDIA</w:t>
            </w:r>
          </w:p>
        </w:tc>
        <w:tc>
          <w:tcPr>
            <w:tcW w:type="dxa" w:w="3126"/>
            <w:tcMar>
              <w:top w:type="dxa" w:w="55"/>
              <w:left w:type="dxa" w:w="90"/>
              <w:bottom w:type="dxa" w:w="55"/>
              <w:right w:type="dxa" w:w="90"/>
            </w:tcMar>
          </w:tcPr>
          <w:p>
            <w:r>
              <w:rPr>
                <w:b w:val="false"/>
                <w:bCs w:val="false"/>
                <w:color w:val="000000"/>
                <w:sz w:val="18"/>
                <w:szCs w:val="18"/>
              </w:rPr>
              <w:t xml:space="preserve">Multimodal input with reliable structured output</w:t>
            </w:r>
          </w:p>
        </w:tc>
      </w:tr>
      <w:tr>
        <w:tc>
          <w:tcPr>
            <w:tcW w:type="dxa" w:w="2000"/>
            <w:shd w:fill="F4FAFC" w:val="clear"/>
            <w:tcMar>
              <w:top w:type="dxa" w:w="55"/>
              <w:left w:type="dxa" w:w="90"/>
              <w:bottom w:type="dxa" w:w="55"/>
              <w:right w:type="dxa" w:w="90"/>
            </w:tcMar>
          </w:tcPr>
          <w:p>
            <w:r>
              <w:rPr>
                <w:b w:val="false"/>
                <w:bCs w:val="false"/>
                <w:color w:val="000000"/>
                <w:sz w:val="18"/>
                <w:szCs w:val="18"/>
              </w:rPr>
              <w:t xml:space="preserve">Assistant chat</w:t>
            </w:r>
          </w:p>
        </w:tc>
        <w:tc>
          <w:tcPr>
            <w:tcW w:type="dxa" w:w="1700"/>
            <w:shd w:fill="F4FAFC" w:val="clear"/>
            <w:tcMar>
              <w:top w:type="dxa" w:w="55"/>
              <w:left w:type="dxa" w:w="90"/>
              <w:bottom w:type="dxa" w:w="55"/>
              <w:right w:type="dxa" w:w="90"/>
            </w:tcMar>
          </w:tcPr>
          <w:p>
            <w:r>
              <w:rPr>
                <w:b w:val="false"/>
                <w:bCs w:val="false"/>
                <w:color w:val="000000"/>
                <w:sz w:val="18"/>
                <w:szCs w:val="18"/>
              </w:rPr>
              <w:t xml:space="preserve">Groq</w:t>
            </w:r>
          </w:p>
        </w:tc>
        <w:tc>
          <w:tcPr>
            <w:tcW w:type="dxa" w:w="2200"/>
            <w:shd w:fill="F4FAFC" w:val="clear"/>
            <w:tcMar>
              <w:top w:type="dxa" w:w="55"/>
              <w:left w:type="dxa" w:w="90"/>
              <w:bottom w:type="dxa" w:w="55"/>
              <w:right w:type="dxa" w:w="90"/>
            </w:tcMar>
          </w:tcPr>
          <w:p>
            <w:r>
              <w:rPr>
                <w:b w:val="false"/>
                <w:bCs w:val="false"/>
                <w:color w:val="000000"/>
                <w:sz w:val="18"/>
                <w:szCs w:val="18"/>
              </w:rPr>
              <w:t xml:space="preserve">Ollama Cloud, then Gemini</w:t>
            </w:r>
          </w:p>
        </w:tc>
        <w:tc>
          <w:tcPr>
            <w:tcW w:type="dxa" w:w="3126"/>
            <w:shd w:fill="F4FAFC" w:val="clear"/>
            <w:tcMar>
              <w:top w:type="dxa" w:w="55"/>
              <w:left w:type="dxa" w:w="90"/>
              <w:bottom w:type="dxa" w:w="55"/>
              <w:right w:type="dxa" w:w="90"/>
            </w:tcMar>
          </w:tcPr>
          <w:p>
            <w:r>
              <w:rPr>
                <w:b w:val="false"/>
                <w:bCs w:val="false"/>
                <w:color w:val="000000"/>
                <w:sz w:val="18"/>
                <w:szCs w:val="18"/>
              </w:rPr>
              <w:t xml:space="preserve">Lowest latency for streaming turns</w:t>
            </w:r>
          </w:p>
        </w:tc>
      </w:tr>
      <w:tr>
        <w:tc>
          <w:tcPr>
            <w:tcW w:type="dxa" w:w="2000"/>
            <w:tcMar>
              <w:top w:type="dxa" w:w="55"/>
              <w:left w:type="dxa" w:w="90"/>
              <w:bottom w:type="dxa" w:w="55"/>
              <w:right w:type="dxa" w:w="90"/>
            </w:tcMar>
          </w:tcPr>
          <w:p>
            <w:r>
              <w:rPr>
                <w:b w:val="false"/>
                <w:bCs w:val="false"/>
                <w:color w:val="000000"/>
                <w:sz w:val="18"/>
                <w:szCs w:val="18"/>
              </w:rPr>
              <w:t xml:space="preserve">Plan and recipe generation</w:t>
            </w:r>
          </w:p>
        </w:tc>
        <w:tc>
          <w:tcPr>
            <w:tcW w:type="dxa" w:w="1700"/>
            <w:tcMar>
              <w:top w:type="dxa" w:w="55"/>
              <w:left w:type="dxa" w:w="90"/>
              <w:bottom w:type="dxa" w:w="55"/>
              <w:right w:type="dxa" w:w="90"/>
            </w:tcMar>
          </w:tcPr>
          <w:p>
            <w:r>
              <w:rPr>
                <w:b w:val="false"/>
                <w:bCs w:val="false"/>
                <w:color w:val="000000"/>
                <w:sz w:val="18"/>
                <w:szCs w:val="18"/>
              </w:rPr>
              <w:t xml:space="preserve">Gemini</w:t>
            </w:r>
          </w:p>
        </w:tc>
        <w:tc>
          <w:tcPr>
            <w:tcW w:type="dxa" w:w="2200"/>
            <w:tcMar>
              <w:top w:type="dxa" w:w="55"/>
              <w:left w:type="dxa" w:w="90"/>
              <w:bottom w:type="dxa" w:w="55"/>
              <w:right w:type="dxa" w:w="90"/>
            </w:tcMar>
          </w:tcPr>
          <w:p>
            <w:r>
              <w:rPr>
                <w:b w:val="false"/>
                <w:bCs w:val="false"/>
                <w:color w:val="000000"/>
                <w:sz w:val="18"/>
                <w:szCs w:val="18"/>
              </w:rPr>
              <w:t xml:space="preserve">Groq, then Ollama Cloud</w:t>
            </w:r>
          </w:p>
        </w:tc>
        <w:tc>
          <w:tcPr>
            <w:tcW w:type="dxa" w:w="3126"/>
            <w:tcMar>
              <w:top w:type="dxa" w:w="55"/>
              <w:left w:type="dxa" w:w="90"/>
              <w:bottom w:type="dxa" w:w="55"/>
              <w:right w:type="dxa" w:w="90"/>
            </w:tcMar>
          </w:tcPr>
          <w:p>
            <w:r>
              <w:rPr>
                <w:b w:val="false"/>
                <w:bCs w:val="false"/>
                <w:color w:val="000000"/>
                <w:sz w:val="18"/>
                <w:szCs w:val="18"/>
              </w:rPr>
              <w:t xml:space="preserve">Best adherence to long structured schemas</w:t>
            </w:r>
          </w:p>
        </w:tc>
      </w:tr>
      <w:tr>
        <w:tc>
          <w:tcPr>
            <w:tcW w:type="dxa" w:w="2000"/>
            <w:shd w:fill="F4FAFC" w:val="clear"/>
            <w:tcMar>
              <w:top w:type="dxa" w:w="55"/>
              <w:left w:type="dxa" w:w="90"/>
              <w:bottom w:type="dxa" w:w="55"/>
              <w:right w:type="dxa" w:w="90"/>
            </w:tcMar>
          </w:tcPr>
          <w:p>
            <w:r>
              <w:rPr>
                <w:b w:val="false"/>
                <w:bCs w:val="false"/>
                <w:color w:val="000000"/>
                <w:sz w:val="18"/>
                <w:szCs w:val="18"/>
              </w:rPr>
              <w:t xml:space="preserve">Intent and safety pre-screen</w:t>
            </w:r>
          </w:p>
        </w:tc>
        <w:tc>
          <w:tcPr>
            <w:tcW w:type="dxa" w:w="1700"/>
            <w:shd w:fill="F4FAFC" w:val="clear"/>
            <w:tcMar>
              <w:top w:type="dxa" w:w="55"/>
              <w:left w:type="dxa" w:w="90"/>
              <w:bottom w:type="dxa" w:w="55"/>
              <w:right w:type="dxa" w:w="90"/>
            </w:tcMar>
          </w:tcPr>
          <w:p>
            <w:r>
              <w:rPr>
                <w:b w:val="false"/>
                <w:bCs w:val="false"/>
                <w:color w:val="000000"/>
                <w:sz w:val="18"/>
                <w:szCs w:val="18"/>
              </w:rPr>
              <w:t xml:space="preserve">Ollama Cloud</w:t>
            </w:r>
          </w:p>
        </w:tc>
        <w:tc>
          <w:tcPr>
            <w:tcW w:type="dxa" w:w="2200"/>
            <w:shd w:fill="F4FAFC" w:val="clear"/>
            <w:tcMar>
              <w:top w:type="dxa" w:w="55"/>
              <w:left w:type="dxa" w:w="90"/>
              <w:bottom w:type="dxa" w:w="55"/>
              <w:right w:type="dxa" w:w="90"/>
            </w:tcMar>
          </w:tcPr>
          <w:p>
            <w:r>
              <w:rPr>
                <w:b w:val="false"/>
                <w:bCs w:val="false"/>
                <w:color w:val="000000"/>
                <w:sz w:val="18"/>
                <w:szCs w:val="18"/>
              </w:rPr>
              <w:t xml:space="preserve">Groq</w:t>
            </w:r>
          </w:p>
        </w:tc>
        <w:tc>
          <w:tcPr>
            <w:tcW w:type="dxa" w:w="3126"/>
            <w:shd w:fill="F4FAFC" w:val="clear"/>
            <w:tcMar>
              <w:top w:type="dxa" w:w="55"/>
              <w:left w:type="dxa" w:w="90"/>
              <w:bottom w:type="dxa" w:w="55"/>
              <w:right w:type="dxa" w:w="90"/>
            </w:tcMar>
          </w:tcPr>
          <w:p>
            <w:r>
              <w:rPr>
                <w:b w:val="false"/>
                <w:bCs w:val="false"/>
                <w:color w:val="000000"/>
                <w:sz w:val="18"/>
                <w:szCs w:val="18"/>
              </w:rPr>
              <w:t xml:space="preserve">High volume, near-zero cost</w:t>
            </w:r>
          </w:p>
        </w:tc>
      </w:tr>
      <w:tr>
        <w:tc>
          <w:tcPr>
            <w:tcW w:type="dxa" w:w="2000"/>
            <w:tcMar>
              <w:top w:type="dxa" w:w="55"/>
              <w:left w:type="dxa" w:w="90"/>
              <w:bottom w:type="dxa" w:w="55"/>
              <w:right w:type="dxa" w:w="90"/>
            </w:tcMar>
          </w:tcPr>
          <w:p>
            <w:r>
              <w:rPr>
                <w:b w:val="false"/>
                <w:bCs w:val="false"/>
                <w:color w:val="000000"/>
                <w:sz w:val="18"/>
                <w:szCs w:val="18"/>
              </w:rPr>
              <w:t xml:space="preserve">Heavy batch insight</w:t>
            </w:r>
          </w:p>
        </w:tc>
        <w:tc>
          <w:tcPr>
            <w:tcW w:type="dxa" w:w="1700"/>
            <w:tcMar>
              <w:top w:type="dxa" w:w="55"/>
              <w:left w:type="dxa" w:w="90"/>
              <w:bottom w:type="dxa" w:w="55"/>
              <w:right w:type="dxa" w:w="90"/>
            </w:tcMar>
          </w:tcPr>
          <w:p>
            <w:r>
              <w:rPr>
                <w:b w:val="false"/>
                <w:bCs w:val="false"/>
                <w:color w:val="000000"/>
                <w:sz w:val="18"/>
                <w:szCs w:val="18"/>
              </w:rPr>
              <w:t xml:space="preserve">NVIDIA</w:t>
            </w:r>
          </w:p>
        </w:tc>
        <w:tc>
          <w:tcPr>
            <w:tcW w:type="dxa" w:w="2200"/>
            <w:tcMar>
              <w:top w:type="dxa" w:w="55"/>
              <w:left w:type="dxa" w:w="90"/>
              <w:bottom w:type="dxa" w:w="55"/>
              <w:right w:type="dxa" w:w="90"/>
            </w:tcMar>
          </w:tcPr>
          <w:p>
            <w:r>
              <w:rPr>
                <w:b w:val="false"/>
                <w:bCs w:val="false"/>
                <w:color w:val="000000"/>
                <w:sz w:val="18"/>
                <w:szCs w:val="18"/>
              </w:rPr>
              <w:t xml:space="preserve">Gemini</w:t>
            </w:r>
          </w:p>
        </w:tc>
        <w:tc>
          <w:tcPr>
            <w:tcW w:type="dxa" w:w="3126"/>
            <w:tcMar>
              <w:top w:type="dxa" w:w="55"/>
              <w:left w:type="dxa" w:w="90"/>
              <w:bottom w:type="dxa" w:w="55"/>
              <w:right w:type="dxa" w:w="90"/>
            </w:tcMar>
          </w:tcPr>
          <w:p>
            <w:r>
              <w:rPr>
                <w:b w:val="false"/>
                <w:bCs w:val="false"/>
                <w:color w:val="000000"/>
                <w:sz w:val="18"/>
                <w:szCs w:val="18"/>
              </w:rPr>
              <w:t xml:space="preserve">Isolated lane so heavy jobs never contend with chat</w:t>
            </w:r>
          </w:p>
        </w:tc>
      </w:tr>
    </w:tbl>
    <w:p>
      <w:pPr>
        <w:pStyle w:val="Heading2"/>
        <w:spacing w:after="100" w:before="220"/>
      </w:pPr>
      <w:r>
        <w:rPr>
          <w:b/>
          <w:bCs/>
          <w:color w:val="0A8CAB"/>
          <w:sz w:val="25"/>
          <w:szCs w:val="25"/>
        </w:rPr>
        <w:t xml:space="preserve">5.2 Division of responsibility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B2233" w:val="clear"/>
            <w:tcMar>
              <w:top w:type="dxa" w:w="55"/>
              <w:left w:type="dxa" w:w="90"/>
              <w:bottom w:type="dxa" w:w="55"/>
              <w:right w:type="dxa" w:w="90"/>
            </w:tcMar>
          </w:tcPr>
          <w:p>
            <w:r>
              <w:rPr>
                <w:b/>
                <w:bCs/>
                <w:color w:val="FFFFFF"/>
                <w:sz w:val="18"/>
                <w:szCs w:val="18"/>
              </w:rPr>
              <w:t xml:space="preserve">Stays in AquaZeroFit code</w:t>
            </w:r>
          </w:p>
        </w:tc>
        <w:tc>
          <w:tcPr>
            <w:tcW w:type="dxa" w:w="4513"/>
            <w:shd w:fill="0B2233" w:val="clear"/>
            <w:tcMar>
              <w:top w:type="dxa" w:w="55"/>
              <w:left w:type="dxa" w:w="90"/>
              <w:bottom w:type="dxa" w:w="55"/>
              <w:right w:type="dxa" w:w="90"/>
            </w:tcMar>
          </w:tcPr>
          <w:p>
            <w:r>
              <w:rPr>
                <w:b/>
                <w:bCs/>
                <w:color w:val="FFFFFF"/>
                <w:sz w:val="18"/>
                <w:szCs w:val="18"/>
              </w:rPr>
              <w:t xml:space="preserve">Declared in gateway configuration</w:t>
            </w:r>
          </w:p>
        </w:tc>
      </w:tr>
      <w:tr>
        <w:tc>
          <w:tcPr>
            <w:tcW w:type="dxa" w:w="4513"/>
            <w:tcMar>
              <w:top w:type="dxa" w:w="55"/>
              <w:left w:type="dxa" w:w="90"/>
              <w:bottom w:type="dxa" w:w="55"/>
              <w:right w:type="dxa" w:w="90"/>
            </w:tcMar>
          </w:tcPr>
          <w:p>
            <w:r>
              <w:rPr>
                <w:b w:val="false"/>
                <w:bCs w:val="false"/>
                <w:color w:val="000000"/>
                <w:sz w:val="18"/>
                <w:szCs w:val="18"/>
              </w:rPr>
              <w:t xml:space="preserve">Authentication, authorisation and rate limiting</w:t>
            </w:r>
          </w:p>
        </w:tc>
        <w:tc>
          <w:tcPr>
            <w:tcW w:type="dxa" w:w="4513"/>
            <w:tcMar>
              <w:top w:type="dxa" w:w="55"/>
              <w:left w:type="dxa" w:w="90"/>
              <w:bottom w:type="dxa" w:w="55"/>
              <w:right w:type="dxa" w:w="90"/>
            </w:tcMar>
          </w:tcPr>
          <w:p>
            <w:r>
              <w:rPr>
                <w:b w:val="false"/>
                <w:bCs w:val="false"/>
                <w:color w:val="000000"/>
                <w:sz w:val="18"/>
                <w:szCs w:val="18"/>
              </w:rPr>
              <w:t xml:space="preserve">Fallback chains per model group</w:t>
            </w:r>
          </w:p>
        </w:tc>
      </w:tr>
      <w:tr>
        <w:tc>
          <w:tcPr>
            <w:tcW w:type="dxa" w:w="4513"/>
            <w:shd w:fill="F4FAFC" w:val="clear"/>
            <w:tcMar>
              <w:top w:type="dxa" w:w="55"/>
              <w:left w:type="dxa" w:w="90"/>
              <w:bottom w:type="dxa" w:w="55"/>
              <w:right w:type="dxa" w:w="90"/>
            </w:tcMar>
          </w:tcPr>
          <w:p>
            <w:r>
              <w:rPr>
                <w:b w:val="false"/>
                <w:bCs w:val="false"/>
                <w:color w:val="000000"/>
                <w:sz w:val="18"/>
                <w:szCs w:val="18"/>
              </w:rPr>
              <w:t xml:space="preserve">Tier policy and credit reservation</w:t>
            </w:r>
          </w:p>
        </w:tc>
        <w:tc>
          <w:tcPr>
            <w:tcW w:type="dxa" w:w="4513"/>
            <w:shd w:fill="F4FAFC" w:val="clear"/>
            <w:tcMar>
              <w:top w:type="dxa" w:w="55"/>
              <w:left w:type="dxa" w:w="90"/>
              <w:bottom w:type="dxa" w:w="55"/>
              <w:right w:type="dxa" w:w="90"/>
            </w:tcMar>
          </w:tcPr>
          <w:p>
            <w:r>
              <w:rPr>
                <w:b w:val="false"/>
                <w:bCs w:val="false"/>
                <w:color w:val="000000"/>
                <w:sz w:val="18"/>
                <w:szCs w:val="18"/>
              </w:rPr>
              <w:t xml:space="preserve">Retries, timeouts and load balancing</w:t>
            </w:r>
          </w:p>
        </w:tc>
      </w:tr>
      <w:tr>
        <w:tc>
          <w:tcPr>
            <w:tcW w:type="dxa" w:w="4513"/>
            <w:tcMar>
              <w:top w:type="dxa" w:w="55"/>
              <w:left w:type="dxa" w:w="90"/>
              <w:bottom w:type="dxa" w:w="55"/>
              <w:right w:type="dxa" w:w="90"/>
            </w:tcMar>
          </w:tcPr>
          <w:p>
            <w:r>
              <w:rPr>
                <w:b w:val="false"/>
                <w:bCs w:val="false"/>
                <w:color w:val="000000"/>
                <w:sz w:val="18"/>
                <w:szCs w:val="18"/>
              </w:rPr>
              <w:t xml:space="preserve">Wellness guardrails and refusal categories</w:t>
            </w:r>
          </w:p>
        </w:tc>
        <w:tc>
          <w:tcPr>
            <w:tcW w:type="dxa" w:w="4513"/>
            <w:tcMar>
              <w:top w:type="dxa" w:w="55"/>
              <w:left w:type="dxa" w:w="90"/>
              <w:bottom w:type="dxa" w:w="55"/>
              <w:right w:type="dxa" w:w="90"/>
            </w:tcMar>
          </w:tcPr>
          <w:p>
            <w:r>
              <w:rPr>
                <w:b w:val="false"/>
                <w:bCs w:val="false"/>
                <w:color w:val="000000"/>
                <w:sz w:val="18"/>
                <w:szCs w:val="18"/>
              </w:rPr>
              <w:t xml:space="preserve">Per-request cost tracking</w:t>
            </w:r>
          </w:p>
        </w:tc>
      </w:tr>
      <w:tr>
        <w:tc>
          <w:tcPr>
            <w:tcW w:type="dxa" w:w="4513"/>
            <w:shd w:fill="F4FAFC" w:val="clear"/>
            <w:tcMar>
              <w:top w:type="dxa" w:w="55"/>
              <w:left w:type="dxa" w:w="90"/>
              <w:bottom w:type="dxa" w:w="55"/>
              <w:right w:type="dxa" w:w="90"/>
            </w:tcMar>
          </w:tcPr>
          <w:p>
            <w:r>
              <w:rPr>
                <w:b w:val="false"/>
                <w:bCs w:val="false"/>
                <w:color w:val="000000"/>
                <w:sz w:val="18"/>
                <w:szCs w:val="18"/>
              </w:rPr>
              <w:t xml:space="preserve">Deterministic nutrition arithmetic</w:t>
            </w:r>
          </w:p>
        </w:tc>
        <w:tc>
          <w:tcPr>
            <w:tcW w:type="dxa" w:w="4513"/>
            <w:shd w:fill="F4FAFC" w:val="clear"/>
            <w:tcMar>
              <w:top w:type="dxa" w:w="55"/>
              <w:left w:type="dxa" w:w="90"/>
              <w:bottom w:type="dxa" w:w="55"/>
              <w:right w:type="dxa" w:w="90"/>
            </w:tcMar>
          </w:tcPr>
          <w:p>
            <w:r>
              <w:rPr>
                <w:b w:val="false"/>
                <w:bCs w:val="false"/>
                <w:color w:val="000000"/>
                <w:sz w:val="18"/>
                <w:szCs w:val="18"/>
              </w:rPr>
              <w:t xml:space="preserve">Virtual keys with hard budgets per tier</w:t>
            </w:r>
          </w:p>
        </w:tc>
      </w:tr>
      <w:tr>
        <w:tc>
          <w:tcPr>
            <w:tcW w:type="dxa" w:w="4513"/>
            <w:tcMar>
              <w:top w:type="dxa" w:w="55"/>
              <w:left w:type="dxa" w:w="90"/>
              <w:bottom w:type="dxa" w:w="55"/>
              <w:right w:type="dxa" w:w="90"/>
            </w:tcMar>
          </w:tcPr>
          <w:p>
            <w:r>
              <w:rPr>
                <w:b w:val="false"/>
                <w:bCs w:val="false"/>
                <w:color w:val="000000"/>
                <w:sz w:val="18"/>
                <w:szCs w:val="18"/>
              </w:rPr>
              <w:t xml:space="preserve">Prompt version pinning and evaluation gates</w:t>
            </w:r>
          </w:p>
        </w:tc>
        <w:tc>
          <w:tcPr>
            <w:tcW w:type="dxa" w:w="4513"/>
            <w:tcMar>
              <w:top w:type="dxa" w:w="55"/>
              <w:left w:type="dxa" w:w="90"/>
              <w:bottom w:type="dxa" w:w="55"/>
              <w:right w:type="dxa" w:w="90"/>
            </w:tcMar>
          </w:tcPr>
          <w:p>
            <w:r>
              <w:rPr>
                <w:b w:val="false"/>
                <w:bCs w:val="false"/>
                <w:color w:val="000000"/>
                <w:sz w:val="18"/>
                <w:szCs w:val="18"/>
              </w:rPr>
              <w:t xml:space="preserve">Logging callbacks into telemetry</w:t>
            </w:r>
          </w:p>
        </w:tc>
      </w:tr>
    </w:tbl>
    <w:p>
      <w:pPr>
        <w:spacing w:after="110"/>
      </w:pPr>
      <w:r>
        <w:rPr>
          <w:b w:val="false"/>
          <w:bCs w:val="false"/>
          <w:i w:val="false"/>
          <w:iCs w:val="false"/>
          <w:color w:val="000000"/>
          <w:sz w:val="21"/>
          <w:szCs w:val="21"/>
        </w:rPr>
        <w:t xml:space="preserve">Virtual keys with hard budgets mean a free-tier user is technically incapable of reaching a premium lane even if an application-level policy check were bypassed. The credit ledger remains the business record; the virtual key is the enforcement ceiling. This is deliberate defence in depth.</w:t>
      </w:r>
    </w:p>
    <w:p>
      <w:pPr>
        <w:pStyle w:val="Heading1"/>
        <w:pBdr>
          <w:bottom w:val="single" w:color="21C0DA" w:sz="6"/>
        </w:pBdr>
        <w:spacing w:after="140" w:before="300"/>
      </w:pPr>
      <w:r>
        <w:rPr>
          <w:b/>
          <w:bCs/>
          <w:color w:val="0B2233"/>
          <w:sz w:val="30"/>
          <w:szCs w:val="30"/>
        </w:rPr>
        <w:t xml:space="preserve">6. Data Flows</w:t>
      </w:r>
    </w:p>
    <w:p>
      <w:pPr>
        <w:pStyle w:val="Heading2"/>
        <w:spacing w:after="100" w:before="220"/>
      </w:pPr>
      <w:r>
        <w:rPr>
          <w:b/>
          <w:bCs/>
          <w:color w:val="0A8CAB"/>
          <w:sz w:val="25"/>
          <w:szCs w:val="25"/>
        </w:rPr>
        <w:t xml:space="preserve">6.1 Meal photograph to confirmed log</w:t>
      </w:r>
    </w:p>
    <w:p>
      <w:pPr>
        <w:shd w:fill="F2F6F8" w:val="clear"/>
        <w:spacing w:after="20"/>
      </w:pPr>
      <w:r>
        <w:rPr>
          <w:rFonts w:ascii="Consolas" w:cs="Consolas" w:eastAsia="Consolas" w:hAnsi="Consolas"/>
          <w:sz w:val="17"/>
          <w:szCs w:val="17"/>
        </w:rPr>
        <w:t xml:space="preserve">client -&gt; POST /meal-photos -&gt; blob write -&gt; queue message -&gt; vision function</w:t>
      </w:r>
    </w:p>
    <w:p>
      <w:pPr>
        <w:shd w:fill="F2F6F8" w:val="clear"/>
        <w:spacing w:after="20"/>
      </w:pPr>
      <w:r>
        <w:rPr>
          <w:rFonts w:ascii="Consolas" w:cs="Consolas" w:eastAsia="Consolas" w:hAnsi="Consolas"/>
          <w:sz w:val="17"/>
          <w:szCs w:val="17"/>
        </w:rPr>
        <w:t xml:space="preserve">vision -&gt; gateway (vision lane) -&gt; foods, portions, confidence -&gt; map to food records</w:t>
      </w:r>
    </w:p>
    <w:p>
      <w:pPr>
        <w:shd w:fill="F2F6F8" w:val="clear"/>
        <w:spacing w:after="20"/>
      </w:pPr>
      <w:r>
        <w:rPr>
          <w:rFonts w:ascii="Consolas" w:cs="Consolas" w:eastAsia="Consolas" w:hAnsi="Consolas"/>
          <w:sz w:val="17"/>
          <w:szCs w:val="17"/>
        </w:rPr>
        <w:t xml:space="preserve">code computes kcal and macros -&gt; client reviews and corrects -&gt; POST confirm -&gt; log committed</w:t>
      </w:r>
    </w:p>
    <w:p>
      <w:pPr>
        <w:pStyle w:val="Heading2"/>
        <w:spacing w:after="100" w:before="220"/>
      </w:pPr>
      <w:r>
        <w:rPr>
          <w:b/>
          <w:bCs/>
          <w:color w:val="0A8CAB"/>
          <w:sz w:val="25"/>
          <w:szCs w:val="25"/>
        </w:rPr>
        <w:t xml:space="preserve">6.2 Assistant turn</w:t>
      </w:r>
    </w:p>
    <w:p>
      <w:pPr>
        <w:shd w:fill="F2F6F8" w:val="clear"/>
        <w:spacing w:after="20"/>
      </w:pPr>
      <w:r>
        <w:rPr>
          <w:rFonts w:ascii="Consolas" w:cs="Consolas" w:eastAsia="Consolas" w:hAnsi="Consolas"/>
          <w:sz w:val="17"/>
          <w:szCs w:val="17"/>
        </w:rPr>
        <w:t xml:space="preserve">authenticate -&gt; rate limit -&gt; tier and credit check -&gt; input guardrail</w:t>
      </w:r>
    </w:p>
    <w:p>
      <w:pPr>
        <w:shd w:fill="F2F6F8" w:val="clear"/>
        <w:spacing w:after="20"/>
      </w:pPr>
      <w:r>
        <w:rPr>
          <w:rFonts w:ascii="Consolas" w:cs="Consolas" w:eastAsia="Consolas" w:hAnsi="Consolas"/>
          <w:sz w:val="17"/>
          <w:szCs w:val="17"/>
        </w:rPr>
        <w:t xml:space="preserve">-&gt; gateway (chat lane) with tool calls into nutrition, plan and progress services</w:t>
      </w:r>
    </w:p>
    <w:p>
      <w:pPr>
        <w:shd w:fill="F2F6F8" w:val="clear"/>
        <w:spacing w:after="20"/>
      </w:pPr>
      <w:r>
        <w:rPr>
          <w:rFonts w:ascii="Consolas" w:cs="Consolas" w:eastAsia="Consolas" w:hAnsi="Consolas"/>
          <w:sz w:val="17"/>
          <w:szCs w:val="17"/>
        </w:rPr>
        <w:t xml:space="preserve">-&gt; output guardrail and numeric rules -&gt; stream response -&gt; telemetry</w:t>
      </w:r>
    </w:p>
    <w:p>
      <w:pPr>
        <w:pStyle w:val="Heading2"/>
        <w:spacing w:after="100" w:before="220"/>
      </w:pPr>
      <w:r>
        <w:rPr>
          <w:b/>
          <w:bCs/>
          <w:color w:val="0A8CAB"/>
          <w:sz w:val="25"/>
          <w:szCs w:val="25"/>
        </w:rPr>
        <w:t xml:space="preserve">6.3 Weekly adaptation</w:t>
      </w:r>
    </w:p>
    <w:p>
      <w:pPr>
        <w:shd w:fill="F2F6F8" w:val="clear"/>
        <w:spacing w:after="20"/>
      </w:pPr>
      <w:r>
        <w:rPr>
          <w:rFonts w:ascii="Consolas" w:cs="Consolas" w:eastAsia="Consolas" w:hAnsi="Consolas"/>
          <w:sz w:val="17"/>
          <w:szCs w:val="17"/>
        </w:rPr>
        <w:t xml:space="preserve">timer trigger -&gt; analyse weight trend and adherence -&gt; recompute targets within safety bounds</w:t>
      </w:r>
    </w:p>
    <w:p>
      <w:pPr>
        <w:shd w:fill="F2F6F8" w:val="clear"/>
        <w:spacing w:after="20"/>
      </w:pPr>
      <w:r>
        <w:rPr>
          <w:rFonts w:ascii="Consolas" w:cs="Consolas" w:eastAsia="Consolas" w:hAnsi="Consolas"/>
          <w:sz w:val="17"/>
          <w:szCs w:val="17"/>
        </w:rPr>
        <w:t xml:space="preserve">-&gt; regenerate or adjust plan -&gt; notify user in application</w:t>
      </w:r>
    </w:p>
    <w:p>
      <w:pPr>
        <w:pStyle w:val="Heading1"/>
        <w:pBdr>
          <w:bottom w:val="single" w:color="21C0DA" w:sz="6"/>
        </w:pBdr>
        <w:spacing w:after="140" w:before="300"/>
      </w:pPr>
      <w:r>
        <w:rPr>
          <w:b/>
          <w:bCs/>
          <w:color w:val="0B2233"/>
          <w:sz w:val="30"/>
          <w:szCs w:val="30"/>
        </w:rPr>
        <w:t xml:space="preserve">7. Security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Concern</w:t>
            </w:r>
          </w:p>
        </w:tc>
        <w:tc>
          <w:tcPr>
            <w:tcW w:type="dxa" w:w="6926"/>
            <w:shd w:fill="0B2233" w:val="clear"/>
            <w:tcMar>
              <w:top w:type="dxa" w:w="55"/>
              <w:left w:type="dxa" w:w="90"/>
              <w:bottom w:type="dxa" w:w="55"/>
              <w:right w:type="dxa" w:w="90"/>
            </w:tcMar>
          </w:tcPr>
          <w:p>
            <w:r>
              <w:rPr>
                <w:b/>
                <w:bCs/>
                <w:color w:val="FFFFFF"/>
                <w:sz w:val="18"/>
                <w:szCs w:val="18"/>
              </w:rPr>
              <w:t xml:space="preserve">Control</w:t>
            </w:r>
          </w:p>
        </w:tc>
      </w:tr>
      <w:tr>
        <w:tc>
          <w:tcPr>
            <w:tcW w:type="dxa" w:w="2100"/>
            <w:tcMar>
              <w:top w:type="dxa" w:w="55"/>
              <w:left w:type="dxa" w:w="90"/>
              <w:bottom w:type="dxa" w:w="55"/>
              <w:right w:type="dxa" w:w="90"/>
            </w:tcMar>
          </w:tcPr>
          <w:p>
            <w:r>
              <w:rPr>
                <w:b w:val="false"/>
                <w:bCs w:val="false"/>
                <w:color w:val="000000"/>
                <w:sz w:val="18"/>
                <w:szCs w:val="18"/>
              </w:rPr>
              <w:t xml:space="preserve">Mini App trust boundary</w:t>
            </w:r>
          </w:p>
        </w:tc>
        <w:tc>
          <w:tcPr>
            <w:tcW w:type="dxa" w:w="6926"/>
            <w:tcMar>
              <w:top w:type="dxa" w:w="55"/>
              <w:left w:type="dxa" w:w="90"/>
              <w:bottom w:type="dxa" w:w="55"/>
              <w:right w:type="dxa" w:w="90"/>
            </w:tcMar>
          </w:tcPr>
          <w:p>
            <w:r>
              <w:rPr>
                <w:b w:val="false"/>
                <w:bCs w:val="false"/>
                <w:color w:val="000000"/>
                <w:sz w:val="18"/>
                <w:szCs w:val="18"/>
              </w:rPr>
              <w:t xml:space="preserve">Launch data is untrusted until the server verifies the signature with the bot token and checks freshness. Only then is an identity established</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Session management</w:t>
            </w:r>
          </w:p>
        </w:tc>
        <w:tc>
          <w:tcPr>
            <w:tcW w:type="dxa" w:w="6926"/>
            <w:shd w:fill="F4FAFC" w:val="clear"/>
            <w:tcMar>
              <w:top w:type="dxa" w:w="55"/>
              <w:left w:type="dxa" w:w="90"/>
              <w:bottom w:type="dxa" w:w="55"/>
              <w:right w:type="dxa" w:w="90"/>
            </w:tcMar>
          </w:tcPr>
          <w:p>
            <w:r>
              <w:rPr>
                <w:b w:val="false"/>
                <w:bCs w:val="false"/>
                <w:color w:val="000000"/>
                <w:sz w:val="18"/>
                <w:szCs w:val="18"/>
              </w:rPr>
              <w:t xml:space="preserve">Both authentication paths issue the platform's own short-lived access token plus a single-use rotating refresh token with family revocation on reuse</w:t>
            </w:r>
          </w:p>
        </w:tc>
      </w:tr>
      <w:tr>
        <w:tc>
          <w:tcPr>
            <w:tcW w:type="dxa" w:w="2100"/>
            <w:tcMar>
              <w:top w:type="dxa" w:w="55"/>
              <w:left w:type="dxa" w:w="90"/>
              <w:bottom w:type="dxa" w:w="55"/>
              <w:right w:type="dxa" w:w="90"/>
            </w:tcMar>
          </w:tcPr>
          <w:p>
            <w:r>
              <w:rPr>
                <w:b w:val="false"/>
                <w:bCs w:val="false"/>
                <w:color w:val="000000"/>
                <w:sz w:val="18"/>
                <w:szCs w:val="18"/>
              </w:rPr>
              <w:t xml:space="preserve">Secrets</w:t>
            </w:r>
          </w:p>
        </w:tc>
        <w:tc>
          <w:tcPr>
            <w:tcW w:type="dxa" w:w="6926"/>
            <w:tcMar>
              <w:top w:type="dxa" w:w="55"/>
              <w:left w:type="dxa" w:w="90"/>
              <w:bottom w:type="dxa" w:w="55"/>
              <w:right w:type="dxa" w:w="90"/>
            </w:tcMar>
          </w:tcPr>
          <w:p>
            <w:r>
              <w:rPr>
                <w:b w:val="false"/>
                <w:bCs w:val="false"/>
                <w:color w:val="000000"/>
                <w:sz w:val="18"/>
                <w:szCs w:val="18"/>
              </w:rPr>
              <w:t xml:space="preserve">Key Vault in role-based mode; Functions and the gateway container read via Managed Identity; developers hold access on the development environment only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Team access</w:t>
            </w:r>
          </w:p>
        </w:tc>
        <w:tc>
          <w:tcPr>
            <w:tcW w:type="dxa" w:w="6926"/>
            <w:shd w:fill="F4FAFC" w:val="clear"/>
            <w:tcMar>
              <w:top w:type="dxa" w:w="55"/>
              <w:left w:type="dxa" w:w="90"/>
              <w:bottom w:type="dxa" w:w="55"/>
              <w:right w:type="dxa" w:w="90"/>
            </w:tcMar>
          </w:tcPr>
          <w:p>
            <w:r>
              <w:rPr>
                <w:b w:val="false"/>
                <w:bCs w:val="false"/>
                <w:color w:val="000000"/>
                <w:sz w:val="18"/>
                <w:szCs w:val="18"/>
              </w:rPr>
              <w:t xml:space="preserve">Members are guests in security groups with Contributor scoped to the development resource group only; production changes flow exclusively through the pipeline</w:t>
            </w:r>
          </w:p>
        </w:tc>
      </w:tr>
      <w:tr>
        <w:tc>
          <w:tcPr>
            <w:tcW w:type="dxa" w:w="2100"/>
            <w:tcMar>
              <w:top w:type="dxa" w:w="55"/>
              <w:left w:type="dxa" w:w="90"/>
              <w:bottom w:type="dxa" w:w="55"/>
              <w:right w:type="dxa" w:w="90"/>
            </w:tcMar>
          </w:tcPr>
          <w:p>
            <w:r>
              <w:rPr>
                <w:b w:val="false"/>
                <w:bCs w:val="false"/>
                <w:color w:val="000000"/>
                <w:sz w:val="18"/>
                <w:szCs w:val="18"/>
              </w:rPr>
              <w:t xml:space="preserve">Abuse</w:t>
            </w:r>
          </w:p>
        </w:tc>
        <w:tc>
          <w:tcPr>
            <w:tcW w:type="dxa" w:w="6926"/>
            <w:tcMar>
              <w:top w:type="dxa" w:w="55"/>
              <w:left w:type="dxa" w:w="90"/>
              <w:bottom w:type="dxa" w:w="55"/>
              <w:right w:type="dxa" w:w="90"/>
            </w:tcMar>
          </w:tcPr>
          <w:p>
            <w:r>
              <w:rPr>
                <w:b w:val="false"/>
                <w:bCs w:val="false"/>
                <w:color w:val="000000"/>
                <w:sz w:val="18"/>
                <w:szCs w:val="18"/>
              </w:rPr>
              <w:t xml:space="preserve">Per-user and per-IP rate limits in middleware; per-tier budgets at the gateway; Azure API Management documented as the enterprise upgrade</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Data protection</w:t>
            </w:r>
          </w:p>
        </w:tc>
        <w:tc>
          <w:tcPr>
            <w:tcW w:type="dxa" w:w="6926"/>
            <w:shd w:fill="F4FAFC" w:val="clear"/>
            <w:tcMar>
              <w:top w:type="dxa" w:w="55"/>
              <w:left w:type="dxa" w:w="90"/>
              <w:bottom w:type="dxa" w:w="55"/>
              <w:right w:type="dxa" w:w="90"/>
            </w:tcMar>
          </w:tcPr>
          <w:p>
            <w:r>
              <w:rPr>
                <w:b w:val="false"/>
                <w:bCs w:val="false"/>
                <w:color w:val="000000"/>
                <w:sz w:val="18"/>
                <w:szCs w:val="18"/>
              </w:rPr>
              <w:t xml:space="preserve">Encryption in transit and at rest, logical separation of sensitive wellness data, audit logging, export and deletion endpoints</w:t>
            </w:r>
          </w:p>
        </w:tc>
      </w:tr>
    </w:tbl>
    <w:p>
      <w:pPr>
        <w:pStyle w:val="Heading1"/>
        <w:pBdr>
          <w:bottom w:val="single" w:color="21C0DA" w:sz="6"/>
        </w:pBdr>
        <w:spacing w:after="140" w:before="300"/>
      </w:pPr>
      <w:r>
        <w:rPr>
          <w:b/>
          <w:bCs/>
          <w:color w:val="0B2233"/>
          <w:sz w:val="30"/>
          <w:szCs w:val="30"/>
        </w:rPr>
        <w:t xml:space="preserve">8. Deployment View</w:t>
      </w:r>
    </w:p>
    <w:p>
      <w:pPr>
        <w:spacing w:after="40" w:before="140"/>
        <w:jc w:val="center"/>
      </w:pPr>
      <w:r>
        <w:drawing>
          <wp:inline distT="0" distB="0" distL="0" distR="0">
            <wp:extent cx="40957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590675"/>
                    </a:xfrm>
                    <a:prstGeom prst="rect">
                      <a:avLst/>
                    </a:prstGeom>
                  </pic:spPr>
                </pic:pic>
              </a:graphicData>
            </a:graphic>
          </wp:inline>
        </w:drawing>
      </w:r>
    </w:p>
    <w:p>
      <w:pPr>
        <w:spacing w:after="160"/>
        <w:jc w:val="center"/>
      </w:pPr>
      <w:r>
        <w:rPr>
          <w:i/>
          <w:iCs/>
          <w:color w:val="5A6672"/>
          <w:sz w:val="17"/>
          <w:szCs w:val="17"/>
        </w:rPr>
        <w:t xml:space="preserve">Figure 4.4: Environments, pipeline and recovery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726"/>
      </w:tblGrid>
      <w:tr>
        <w:trPr>
          <w:tblHeader/>
        </w:trPr>
        <w:tc>
          <w:tcPr>
            <w:tcW w:type="dxa" w:w="1900"/>
            <w:shd w:fill="0B2233" w:val="clear"/>
            <w:tcMar>
              <w:top w:type="dxa" w:w="55"/>
              <w:left w:type="dxa" w:w="90"/>
              <w:bottom w:type="dxa" w:w="55"/>
              <w:right w:type="dxa" w:w="90"/>
            </w:tcMar>
          </w:tcPr>
          <w:p>
            <w:r>
              <w:rPr>
                <w:b/>
                <w:bCs/>
                <w:color w:val="FFFFFF"/>
                <w:sz w:val="18"/>
                <w:szCs w:val="18"/>
              </w:rPr>
              <w:t xml:space="preserve">Environment</w:t>
            </w:r>
          </w:p>
        </w:tc>
        <w:tc>
          <w:tcPr>
            <w:tcW w:type="dxa" w:w="2400"/>
            <w:shd w:fill="0B2233" w:val="clear"/>
            <w:tcMar>
              <w:top w:type="dxa" w:w="55"/>
              <w:left w:type="dxa" w:w="90"/>
              <w:bottom w:type="dxa" w:w="55"/>
              <w:right w:type="dxa" w:w="90"/>
            </w:tcMar>
          </w:tcPr>
          <w:p>
            <w:r>
              <w:rPr>
                <w:b/>
                <w:bCs/>
                <w:color w:val="FFFFFF"/>
                <w:sz w:val="18"/>
                <w:szCs w:val="18"/>
              </w:rPr>
              <w:t xml:space="preserve">Resource group</w:t>
            </w:r>
          </w:p>
        </w:tc>
        <w:tc>
          <w:tcPr>
            <w:tcW w:type="dxa" w:w="2000"/>
            <w:shd w:fill="0B2233" w:val="clear"/>
            <w:tcMar>
              <w:top w:type="dxa" w:w="55"/>
              <w:left w:type="dxa" w:w="90"/>
              <w:bottom w:type="dxa" w:w="55"/>
              <w:right w:type="dxa" w:w="90"/>
            </w:tcMar>
          </w:tcPr>
          <w:p>
            <w:r>
              <w:rPr>
                <w:b/>
                <w:bCs/>
                <w:color w:val="FFFFFF"/>
                <w:sz w:val="18"/>
                <w:szCs w:val="18"/>
              </w:rPr>
              <w:t xml:space="preserve">Trigger</w:t>
            </w:r>
          </w:p>
        </w:tc>
        <w:tc>
          <w:tcPr>
            <w:tcW w:type="dxa" w:w="2726"/>
            <w:shd w:fill="0B2233" w:val="clear"/>
            <w:tcMar>
              <w:top w:type="dxa" w:w="55"/>
              <w:left w:type="dxa" w:w="90"/>
              <w:bottom w:type="dxa" w:w="55"/>
              <w:right w:type="dxa" w:w="90"/>
            </w:tcMar>
          </w:tcPr>
          <w:p>
            <w:r>
              <w:rPr>
                <w:b/>
                <w:bCs/>
                <w:color w:val="FFFFFF"/>
                <w:sz w:val="18"/>
                <w:szCs w:val="18"/>
              </w:rPr>
              <w:t xml:space="preserve">Purpose</w:t>
            </w:r>
          </w:p>
        </w:tc>
      </w:tr>
      <w:tr>
        <w:tc>
          <w:tcPr>
            <w:tcW w:type="dxa" w:w="1900"/>
            <w:tcMar>
              <w:top w:type="dxa" w:w="55"/>
              <w:left w:type="dxa" w:w="90"/>
              <w:bottom w:type="dxa" w:w="55"/>
              <w:right w:type="dxa" w:w="90"/>
            </w:tcMar>
          </w:tcPr>
          <w:p>
            <w:r>
              <w:rPr>
                <w:b w:val="false"/>
                <w:bCs w:val="false"/>
                <w:color w:val="000000"/>
                <w:sz w:val="18"/>
                <w:szCs w:val="18"/>
              </w:rPr>
              <w:t xml:space="preserve">Development</w:t>
            </w:r>
          </w:p>
        </w:tc>
        <w:tc>
          <w:tcPr>
            <w:tcW w:type="dxa" w:w="2400"/>
            <w:tcMar>
              <w:top w:type="dxa" w:w="55"/>
              <w:left w:type="dxa" w:w="90"/>
              <w:bottom w:type="dxa" w:w="55"/>
              <w:right w:type="dxa" w:w="90"/>
            </w:tcMar>
          </w:tcPr>
          <w:p>
            <w:r>
              <w:rPr>
                <w:b w:val="false"/>
                <w:bCs w:val="false"/>
                <w:color w:val="000000"/>
                <w:sz w:val="18"/>
                <w:szCs w:val="18"/>
              </w:rPr>
              <w:t xml:space="preserve">rg-aquazerofit-dev</w:t>
            </w:r>
          </w:p>
        </w:tc>
        <w:tc>
          <w:tcPr>
            <w:tcW w:type="dxa" w:w="2000"/>
            <w:tcMar>
              <w:top w:type="dxa" w:w="55"/>
              <w:left w:type="dxa" w:w="90"/>
              <w:bottom w:type="dxa" w:w="55"/>
              <w:right w:type="dxa" w:w="90"/>
            </w:tcMar>
          </w:tcPr>
          <w:p>
            <w:r>
              <w:rPr>
                <w:b w:val="false"/>
                <w:bCs w:val="false"/>
                <w:color w:val="000000"/>
                <w:sz w:val="18"/>
                <w:szCs w:val="18"/>
              </w:rPr>
              <w:t xml:space="preserve">Push to the dev branch</w:t>
            </w:r>
          </w:p>
        </w:tc>
        <w:tc>
          <w:tcPr>
            <w:tcW w:type="dxa" w:w="2726"/>
            <w:tcMar>
              <w:top w:type="dxa" w:w="55"/>
              <w:left w:type="dxa" w:w="90"/>
              <w:bottom w:type="dxa" w:w="55"/>
              <w:right w:type="dxa" w:w="90"/>
            </w:tcMar>
          </w:tcPr>
          <w:p>
            <w:r>
              <w:rPr>
                <w:b w:val="false"/>
                <w:bCs w:val="false"/>
                <w:color w:val="000000"/>
                <w:sz w:val="18"/>
                <w:szCs w:val="18"/>
              </w:rPr>
              <w:t xml:space="preserve">Integration and team testing, free tiers only</w:t>
            </w:r>
          </w:p>
        </w:tc>
      </w:tr>
      <w:tr>
        <w:tc>
          <w:tcPr>
            <w:tcW w:type="dxa" w:w="1900"/>
            <w:shd w:fill="F4FAFC" w:val="clear"/>
            <w:tcMar>
              <w:top w:type="dxa" w:w="55"/>
              <w:left w:type="dxa" w:w="90"/>
              <w:bottom w:type="dxa" w:w="55"/>
              <w:right w:type="dxa" w:w="90"/>
            </w:tcMar>
          </w:tcPr>
          <w:p>
            <w:r>
              <w:rPr>
                <w:b w:val="false"/>
                <w:bCs w:val="false"/>
                <w:color w:val="000000"/>
                <w:sz w:val="18"/>
                <w:szCs w:val="18"/>
              </w:rPr>
              <w:t xml:space="preserve">Production (assessed)</w:t>
            </w:r>
          </w:p>
        </w:tc>
        <w:tc>
          <w:tcPr>
            <w:tcW w:type="dxa" w:w="2400"/>
            <w:shd w:fill="F4FAFC" w:val="clear"/>
            <w:tcMar>
              <w:top w:type="dxa" w:w="55"/>
              <w:left w:type="dxa" w:w="90"/>
              <w:bottom w:type="dxa" w:w="55"/>
              <w:right w:type="dxa" w:w="90"/>
            </w:tcMar>
          </w:tcPr>
          <w:p>
            <w:r>
              <w:rPr>
                <w:b w:val="false"/>
                <w:bCs w:val="false"/>
                <w:color w:val="000000"/>
                <w:sz w:val="18"/>
                <w:szCs w:val="18"/>
              </w:rPr>
              <w:t xml:space="preserve">rg-aquazerofit-prod</w:t>
            </w:r>
          </w:p>
        </w:tc>
        <w:tc>
          <w:tcPr>
            <w:tcW w:type="dxa" w:w="2000"/>
            <w:shd w:fill="F4FAFC" w:val="clear"/>
            <w:tcMar>
              <w:top w:type="dxa" w:w="55"/>
              <w:left w:type="dxa" w:w="90"/>
              <w:bottom w:type="dxa" w:w="55"/>
              <w:right w:type="dxa" w:w="90"/>
            </w:tcMar>
          </w:tcPr>
          <w:p>
            <w:r>
              <w:rPr>
                <w:b w:val="false"/>
                <w:bCs w:val="false"/>
                <w:color w:val="000000"/>
                <w:sz w:val="18"/>
                <w:szCs w:val="18"/>
              </w:rPr>
              <w:t xml:space="preserve">Tagged release with approval</w:t>
            </w:r>
          </w:p>
        </w:tc>
        <w:tc>
          <w:tcPr>
            <w:tcW w:type="dxa" w:w="2726"/>
            <w:shd w:fill="F4FAFC" w:val="clear"/>
            <w:tcMar>
              <w:top w:type="dxa" w:w="55"/>
              <w:left w:type="dxa" w:w="90"/>
              <w:bottom w:type="dxa" w:w="55"/>
              <w:right w:type="dxa" w:w="90"/>
            </w:tcMar>
          </w:tcPr>
          <w:p>
            <w:r>
              <w:rPr>
                <w:b w:val="false"/>
                <w:bCs w:val="false"/>
                <w:color w:val="000000"/>
                <w:sz w:val="18"/>
                <w:szCs w:val="18"/>
              </w:rPr>
              <w:t xml:space="preserve">Marker demonstration; the registered Mini App URL points here</w:t>
            </w:r>
          </w:p>
        </w:tc>
      </w:tr>
      <w:tr>
        <w:tc>
          <w:tcPr>
            <w:tcW w:type="dxa" w:w="1900"/>
            <w:tcMar>
              <w:top w:type="dxa" w:w="55"/>
              <w:left w:type="dxa" w:w="90"/>
              <w:bottom w:type="dxa" w:w="55"/>
              <w:right w:type="dxa" w:w="90"/>
            </w:tcMar>
          </w:tcPr>
          <w:p>
            <w:r>
              <w:rPr>
                <w:b w:val="false"/>
                <w:bCs w:val="false"/>
                <w:color w:val="000000"/>
                <w:sz w:val="18"/>
                <w:szCs w:val="18"/>
              </w:rPr>
              <w:t xml:space="preserve">Cold spare</w:t>
            </w:r>
          </w:p>
        </w:tc>
        <w:tc>
          <w:tcPr>
            <w:tcW w:type="dxa" w:w="2400"/>
            <w:tcMar>
              <w:top w:type="dxa" w:w="55"/>
              <w:left w:type="dxa" w:w="90"/>
              <w:bottom w:type="dxa" w:w="55"/>
              <w:right w:type="dxa" w:w="90"/>
            </w:tcMar>
          </w:tcPr>
          <w:p>
            <w:r>
              <w:rPr>
                <w:b w:val="false"/>
                <w:bCs w:val="false"/>
                <w:color w:val="000000"/>
                <w:sz w:val="18"/>
                <w:szCs w:val="18"/>
              </w:rPr>
              <w:t xml:space="preserve">Backup member subscription</w:t>
            </w:r>
          </w:p>
        </w:tc>
        <w:tc>
          <w:tcPr>
            <w:tcW w:type="dxa" w:w="2000"/>
            <w:tcMar>
              <w:top w:type="dxa" w:w="55"/>
              <w:left w:type="dxa" w:w="90"/>
              <w:bottom w:type="dxa" w:w="55"/>
              <w:right w:type="dxa" w:w="90"/>
            </w:tcMar>
          </w:tcPr>
          <w:p>
            <w:r>
              <w:rPr>
                <w:b w:val="false"/>
                <w:bCs w:val="false"/>
                <w:color w:val="000000"/>
                <w:sz w:val="18"/>
                <w:szCs w:val="18"/>
              </w:rPr>
              <w:t xml:space="preserve">Manual runbook</w:t>
            </w:r>
          </w:p>
        </w:tc>
        <w:tc>
          <w:tcPr>
            <w:tcW w:type="dxa" w:w="2726"/>
            <w:tcMar>
              <w:top w:type="dxa" w:w="55"/>
              <w:left w:type="dxa" w:w="90"/>
              <w:bottom w:type="dxa" w:w="55"/>
              <w:right w:type="dxa" w:w="90"/>
            </w:tcMar>
          </w:tcPr>
          <w:p>
            <w:r>
              <w:rPr>
                <w:b w:val="false"/>
                <w:bCs w:val="false"/>
                <w:color w:val="000000"/>
                <w:sz w:val="18"/>
                <w:szCs w:val="18"/>
              </w:rPr>
              <w:t xml:space="preserve">Disaster recovery within approximately one hour</w:t>
            </w:r>
          </w:p>
        </w:tc>
      </w:tr>
    </w:tbl>
    <w:p>
      <w:pPr>
        <w:pStyle w:val="Heading1"/>
        <w:pBdr>
          <w:bottom w:val="single" w:color="21C0DA" w:sz="6"/>
        </w:pBdr>
        <w:spacing w:after="140" w:before="300"/>
      </w:pPr>
      <w:r>
        <w:rPr>
          <w:b/>
          <w:bCs/>
          <w:color w:val="0B2233"/>
          <w:sz w:val="30"/>
          <w:szCs w:val="30"/>
        </w:rPr>
        <w:t xml:space="preserve">9. Quality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6"/>
      </w:tblGrid>
      <w:tr>
        <w:trPr>
          <w:tblHeader/>
        </w:trPr>
        <w:tc>
          <w:tcPr>
            <w:tcW w:type="dxa" w:w="1500"/>
            <w:shd w:fill="0B2233" w:val="clear"/>
            <w:tcMar>
              <w:top w:type="dxa" w:w="55"/>
              <w:left w:type="dxa" w:w="90"/>
              <w:bottom w:type="dxa" w:w="55"/>
              <w:right w:type="dxa" w:w="90"/>
            </w:tcMar>
          </w:tcPr>
          <w:p>
            <w:r>
              <w:rPr>
                <w:b/>
                <w:bCs/>
                <w:color w:val="FFFFFF"/>
                <w:sz w:val="18"/>
                <w:szCs w:val="18"/>
              </w:rPr>
              <w:t xml:space="preserve">Attribute</w:t>
            </w:r>
          </w:p>
        </w:tc>
        <w:tc>
          <w:tcPr>
            <w:tcW w:type="dxa" w:w="2900"/>
            <w:shd w:fill="0B2233" w:val="clear"/>
            <w:tcMar>
              <w:top w:type="dxa" w:w="55"/>
              <w:left w:type="dxa" w:w="90"/>
              <w:bottom w:type="dxa" w:w="55"/>
              <w:right w:type="dxa" w:w="90"/>
            </w:tcMar>
          </w:tcPr>
          <w:p>
            <w:r>
              <w:rPr>
                <w:b/>
                <w:bCs/>
                <w:color w:val="FFFFFF"/>
                <w:sz w:val="18"/>
                <w:szCs w:val="18"/>
              </w:rPr>
              <w:t xml:space="preserve">Target</w:t>
            </w:r>
          </w:p>
        </w:tc>
        <w:tc>
          <w:tcPr>
            <w:tcW w:type="dxa" w:w="4626"/>
            <w:shd w:fill="0B2233" w:val="clear"/>
            <w:tcMar>
              <w:top w:type="dxa" w:w="55"/>
              <w:left w:type="dxa" w:w="90"/>
              <w:bottom w:type="dxa" w:w="55"/>
              <w:right w:type="dxa" w:w="90"/>
            </w:tcMar>
          </w:tcPr>
          <w:p>
            <w:r>
              <w:rPr>
                <w:b/>
                <w:bCs/>
                <w:color w:val="FFFFFF"/>
                <w:sz w:val="18"/>
                <w:szCs w:val="18"/>
              </w:rPr>
              <w:t xml:space="preserve">Mechanism</w:t>
            </w:r>
          </w:p>
        </w:tc>
      </w:tr>
      <w:tr>
        <w:tc>
          <w:tcPr>
            <w:tcW w:type="dxa" w:w="1500"/>
            <w:tcMar>
              <w:top w:type="dxa" w:w="55"/>
              <w:left w:type="dxa" w:w="90"/>
              <w:bottom w:type="dxa" w:w="55"/>
              <w:right w:type="dxa" w:w="90"/>
            </w:tcMar>
          </w:tcPr>
          <w:p>
            <w:r>
              <w:rPr>
                <w:b w:val="false"/>
                <w:bCs w:val="false"/>
                <w:color w:val="000000"/>
                <w:sz w:val="18"/>
                <w:szCs w:val="18"/>
              </w:rPr>
              <w:t xml:space="preserve">Performance</w:t>
            </w:r>
          </w:p>
        </w:tc>
        <w:tc>
          <w:tcPr>
            <w:tcW w:type="dxa" w:w="2900"/>
            <w:tcMar>
              <w:top w:type="dxa" w:w="55"/>
              <w:left w:type="dxa" w:w="90"/>
              <w:bottom w:type="dxa" w:w="55"/>
              <w:right w:type="dxa" w:w="90"/>
            </w:tcMar>
          </w:tcPr>
          <w:p>
            <w:r>
              <w:rPr>
                <w:b w:val="false"/>
                <w:bCs w:val="false"/>
                <w:color w:val="000000"/>
                <w:sz w:val="18"/>
                <w:szCs w:val="18"/>
              </w:rPr>
              <w:t xml:space="preserve">CRUD under 500 ms, chat first token under 3 s</w:t>
            </w:r>
          </w:p>
        </w:tc>
        <w:tc>
          <w:tcPr>
            <w:tcW w:type="dxa" w:w="4626"/>
            <w:tcMar>
              <w:top w:type="dxa" w:w="55"/>
              <w:left w:type="dxa" w:w="90"/>
              <w:bottom w:type="dxa" w:w="55"/>
              <w:right w:type="dxa" w:w="90"/>
            </w:tcMar>
          </w:tcPr>
          <w:p>
            <w:r>
              <w:rPr>
                <w:b w:val="false"/>
                <w:bCs w:val="false"/>
                <w:color w:val="000000"/>
                <w:sz w:val="18"/>
                <w:szCs w:val="18"/>
              </w:rPr>
              <w:t xml:space="preserve">Warmed consumption plan, low-latency chat lane, cached targets and food search</w:t>
            </w:r>
          </w:p>
        </w:tc>
      </w:tr>
      <w:tr>
        <w:tc>
          <w:tcPr>
            <w:tcW w:type="dxa" w:w="1500"/>
            <w:shd w:fill="F4FAFC" w:val="clear"/>
            <w:tcMar>
              <w:top w:type="dxa" w:w="55"/>
              <w:left w:type="dxa" w:w="90"/>
              <w:bottom w:type="dxa" w:w="55"/>
              <w:right w:type="dxa" w:w="90"/>
            </w:tcMar>
          </w:tcPr>
          <w:p>
            <w:r>
              <w:rPr>
                <w:b w:val="false"/>
                <w:bCs w:val="false"/>
                <w:color w:val="000000"/>
                <w:sz w:val="18"/>
                <w:szCs w:val="18"/>
              </w:rPr>
              <w:t xml:space="preserve">Reliability</w:t>
            </w:r>
          </w:p>
        </w:tc>
        <w:tc>
          <w:tcPr>
            <w:tcW w:type="dxa" w:w="2900"/>
            <w:shd w:fill="F4FAFC" w:val="clear"/>
            <w:tcMar>
              <w:top w:type="dxa" w:w="55"/>
              <w:left w:type="dxa" w:w="90"/>
              <w:bottom w:type="dxa" w:w="55"/>
              <w:right w:type="dxa" w:w="90"/>
            </w:tcMar>
          </w:tcPr>
          <w:p>
            <w:r>
              <w:rPr>
                <w:b w:val="false"/>
                <w:bCs w:val="false"/>
                <w:color w:val="000000"/>
                <w:sz w:val="18"/>
                <w:szCs w:val="18"/>
              </w:rPr>
              <w:t xml:space="preserve">Core features survive total AI failure</w:t>
            </w:r>
          </w:p>
        </w:tc>
        <w:tc>
          <w:tcPr>
            <w:tcW w:type="dxa" w:w="4626"/>
            <w:shd w:fill="F4FAFC" w:val="clear"/>
            <w:tcMar>
              <w:top w:type="dxa" w:w="55"/>
              <w:left w:type="dxa" w:w="90"/>
              <w:bottom w:type="dxa" w:w="55"/>
              <w:right w:type="dxa" w:w="90"/>
            </w:tcMar>
          </w:tcPr>
          <w:p>
            <w:r>
              <w:rPr>
                <w:b w:val="false"/>
                <w:bCs w:val="false"/>
                <w:color w:val="000000"/>
                <w:sz w:val="18"/>
                <w:szCs w:val="18"/>
              </w:rPr>
              <w:t xml:space="preserve">Gateway fallbacks and circuit breaking, queue buffering, defined degradation matrix</w:t>
            </w:r>
          </w:p>
        </w:tc>
      </w:tr>
      <w:tr>
        <w:tc>
          <w:tcPr>
            <w:tcW w:type="dxa" w:w="1500"/>
            <w:tcMar>
              <w:top w:type="dxa" w:w="55"/>
              <w:left w:type="dxa" w:w="90"/>
              <w:bottom w:type="dxa" w:w="55"/>
              <w:right w:type="dxa" w:w="90"/>
            </w:tcMar>
          </w:tcPr>
          <w:p>
            <w:r>
              <w:rPr>
                <w:b w:val="false"/>
                <w:bCs w:val="false"/>
                <w:color w:val="000000"/>
                <w:sz w:val="18"/>
                <w:szCs w:val="18"/>
              </w:rPr>
              <w:t xml:space="preserve">Cost</w:t>
            </w:r>
          </w:p>
        </w:tc>
        <w:tc>
          <w:tcPr>
            <w:tcW w:type="dxa" w:w="2900"/>
            <w:tcMar>
              <w:top w:type="dxa" w:w="55"/>
              <w:left w:type="dxa" w:w="90"/>
              <w:bottom w:type="dxa" w:w="55"/>
              <w:right w:type="dxa" w:w="90"/>
            </w:tcMar>
          </w:tcPr>
          <w:p>
            <w:r>
              <w:rPr>
                <w:b w:val="false"/>
                <w:bCs w:val="false"/>
                <w:color w:val="000000"/>
                <w:sz w:val="18"/>
                <w:szCs w:val="18"/>
              </w:rPr>
              <w:t xml:space="preserve">Within the student credit for the semester</w:t>
            </w:r>
          </w:p>
        </w:tc>
        <w:tc>
          <w:tcPr>
            <w:tcW w:type="dxa" w:w="4626"/>
            <w:tcMar>
              <w:top w:type="dxa" w:w="55"/>
              <w:left w:type="dxa" w:w="90"/>
              <w:bottom w:type="dxa" w:w="55"/>
              <w:right w:type="dxa" w:w="90"/>
            </w:tcMar>
          </w:tcPr>
          <w:p>
            <w:r>
              <w:rPr>
                <w:b w:val="false"/>
                <w:bCs w:val="false"/>
                <w:color w:val="000000"/>
                <w:sz w:val="18"/>
                <w:szCs w:val="18"/>
              </w:rPr>
              <w:t xml:space="preserve">Scale to zero, free tiers, cheap-lane routing, budget alerts</w:t>
            </w:r>
          </w:p>
        </w:tc>
      </w:tr>
      <w:tr>
        <w:tc>
          <w:tcPr>
            <w:tcW w:type="dxa" w:w="1500"/>
            <w:shd w:fill="F4FAFC" w:val="clear"/>
            <w:tcMar>
              <w:top w:type="dxa" w:w="55"/>
              <w:left w:type="dxa" w:w="90"/>
              <w:bottom w:type="dxa" w:w="55"/>
              <w:right w:type="dxa" w:w="90"/>
            </w:tcMar>
          </w:tcPr>
          <w:p>
            <w:r>
              <w:rPr>
                <w:b w:val="false"/>
                <w:bCs w:val="false"/>
                <w:color w:val="000000"/>
                <w:sz w:val="18"/>
                <w:szCs w:val="18"/>
              </w:rPr>
              <w:t xml:space="preserve">Security</w:t>
            </w:r>
          </w:p>
        </w:tc>
        <w:tc>
          <w:tcPr>
            <w:tcW w:type="dxa" w:w="2900"/>
            <w:shd w:fill="F4FAFC" w:val="clear"/>
            <w:tcMar>
              <w:top w:type="dxa" w:w="55"/>
              <w:left w:type="dxa" w:w="90"/>
              <w:bottom w:type="dxa" w:w="55"/>
              <w:right w:type="dxa" w:w="90"/>
            </w:tcMar>
          </w:tcPr>
          <w:p>
            <w:r>
              <w:rPr>
                <w:b w:val="false"/>
                <w:bCs w:val="false"/>
                <w:color w:val="000000"/>
                <w:sz w:val="18"/>
                <w:szCs w:val="18"/>
              </w:rPr>
              <w:t xml:space="preserve">No secrets in the repository, OWASP mitigations</w:t>
            </w:r>
          </w:p>
        </w:tc>
        <w:tc>
          <w:tcPr>
            <w:tcW w:type="dxa" w:w="4626"/>
            <w:shd w:fill="F4FAFC" w:val="clear"/>
            <w:tcMar>
              <w:top w:type="dxa" w:w="55"/>
              <w:left w:type="dxa" w:w="90"/>
              <w:bottom w:type="dxa" w:w="55"/>
              <w:right w:type="dxa" w:w="90"/>
            </w:tcMar>
          </w:tcPr>
          <w:p>
            <w:r>
              <w:rPr>
                <w:b w:val="false"/>
                <w:bCs w:val="false"/>
                <w:color w:val="000000"/>
                <w:sz w:val="18"/>
                <w:szCs w:val="18"/>
              </w:rPr>
              <w:t xml:space="preserve">Key Vault with Managed Identity, OIDC pipeline, signature validation, scoped roles</w:t>
            </w:r>
          </w:p>
        </w:tc>
      </w:tr>
      <w:tr>
        <w:tc>
          <w:tcPr>
            <w:tcW w:type="dxa" w:w="1500"/>
            <w:tcMar>
              <w:top w:type="dxa" w:w="55"/>
              <w:left w:type="dxa" w:w="90"/>
              <w:bottom w:type="dxa" w:w="55"/>
              <w:right w:type="dxa" w:w="90"/>
            </w:tcMar>
          </w:tcPr>
          <w:p>
            <w:r>
              <w:rPr>
                <w:b w:val="false"/>
                <w:bCs w:val="false"/>
                <w:color w:val="000000"/>
                <w:sz w:val="18"/>
                <w:szCs w:val="18"/>
              </w:rPr>
              <w:t xml:space="preserve">Evolvability</w:t>
            </w:r>
          </w:p>
        </w:tc>
        <w:tc>
          <w:tcPr>
            <w:tcW w:type="dxa" w:w="2900"/>
            <w:tcMar>
              <w:top w:type="dxa" w:w="55"/>
              <w:left w:type="dxa" w:w="90"/>
              <w:bottom w:type="dxa" w:w="55"/>
              <w:right w:type="dxa" w:w="90"/>
            </w:tcMar>
          </w:tcPr>
          <w:p>
            <w:r>
              <w:rPr>
                <w:b w:val="false"/>
                <w:bCs w:val="false"/>
                <w:color w:val="000000"/>
                <w:sz w:val="18"/>
                <w:szCs w:val="18"/>
              </w:rPr>
              <w:t xml:space="preserve">A new AI provider added in under one day</w:t>
            </w:r>
          </w:p>
        </w:tc>
        <w:tc>
          <w:tcPr>
            <w:tcW w:type="dxa" w:w="4626"/>
            <w:tcMar>
              <w:top w:type="dxa" w:w="55"/>
              <w:left w:type="dxa" w:w="90"/>
              <w:bottom w:type="dxa" w:w="55"/>
              <w:right w:type="dxa" w:w="90"/>
            </w:tcMar>
          </w:tcPr>
          <w:p>
            <w:r>
              <w:rPr>
                <w:b w:val="false"/>
                <w:bCs w:val="false"/>
                <w:color w:val="000000"/>
                <w:sz w:val="18"/>
                <w:szCs w:val="18"/>
              </w:rPr>
              <w:t xml:space="preserve">Single gateway boundary; routing is configuration, not code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2"/>
        <w:sz w:val="15"/>
        <w:szCs w:val="15"/>
      </w:rPr>
      <w:t xml:space="preserve">AquaZeroFit  |  AquaZero  |  NIT3003 Group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abstractNum w:abstractNumId="3" w15:restartNumberingAfterBreak="0">
    <w:multiLevelType w:val="hybridMultilevel"/>
    <w:lvl w:ilvl="0" w15:tentative="1">
      <w:start w:val="1"/>
      <w:numFmt w:val="decimal"/>
      <w:lvlText w:val="%1."/>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32369395cfd7c02229296103a36accede67334.png"/><Relationship Id="rId10" Type="http://schemas.openxmlformats.org/officeDocument/2006/relationships/image" Target="media/4ed3682e51c323690850ba50c9b436633ae9fb9c.png"/><Relationship Id="rId11" Type="http://schemas.openxmlformats.org/officeDocument/2006/relationships/image" Target="media/fd383465168e097612f3b3d346d4b2cb63c765de.png"/><Relationship Id="rId12" Type="http://schemas.openxmlformats.org/officeDocument/2006/relationships/image" Target="media/ce23e54ff67820f3fc1481d61dc557b28677c19a.png"/><Relationship Id="rId13" Type="http://schemas.openxmlformats.org/officeDocument/2006/relationships/image" Target="media/c8580b792b5481d6a53e965e0d3d68a1a9a0bad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2026-07-29T03:15:50.654Z</dcterms:created>
  <dcterms:modified xsi:type="dcterms:W3CDTF">2026-07-29T03:15:50.654Z</dcterms:modified>
</cp:coreProperties>
</file>

<file path=docProps/custom.xml><?xml version="1.0" encoding="utf-8"?>
<Properties xmlns="http://schemas.openxmlformats.org/officeDocument/2006/custom-properties" xmlns:vt="http://schemas.openxmlformats.org/officeDocument/2006/docPropsVTypes"/>
</file>