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57425"/>
                    </a:xfrm>
                    <a:prstGeom prst="rect">
                      <a:avLst/>
                    </a:prstGeom>
                  </pic:spPr>
                </pic:pic>
              </a:graphicData>
            </a:graphic>
          </wp:inline>
        </w:drawing>
      </w:r>
    </w:p>
    <w:p>
      <w:pPr>
        <w:spacing w:after="80"/>
        <w:jc w:val="center"/>
      </w:pPr>
      <w:r>
        <w:rPr>
          <w:b/>
          <w:bCs/>
          <w:color w:val="21C0DA"/>
          <w:sz w:val="20"/>
          <w:szCs w:val="20"/>
        </w:rPr>
        <w:t xml:space="preserve">AQF-08</w:t>
      </w:r>
    </w:p>
    <w:p>
      <w:pPr>
        <w:spacing w:after="120"/>
        <w:jc w:val="center"/>
      </w:pPr>
      <w:r>
        <w:rPr>
          <w:b/>
          <w:bCs/>
          <w:color w:val="0B2233"/>
          <w:sz w:val="40"/>
          <w:szCs w:val="40"/>
        </w:rPr>
        <w:t xml:space="preserve">UML Diagram Package</w:t>
      </w:r>
    </w:p>
    <w:p>
      <w:pPr>
        <w:spacing w:after="400"/>
        <w:jc w:val="center"/>
      </w:pPr>
      <w:r>
        <w:rPr>
          <w:color w:val="5A6672"/>
          <w:sz w:val="22"/>
          <w:szCs w:val="22"/>
        </w:rPr>
        <w:t xml:space="preserve">Use case, class, sequence, activity, state and deployment views</w:t>
      </w:r>
    </w:p>
    <w:p>
      <w:pPr>
        <w:jc w:val="center"/>
      </w:pPr>
      <w:r>
        <w:rPr>
          <w:b/>
          <w:bCs/>
          <w:color w:val="0A8CAB"/>
          <w:sz w:val="20"/>
          <w:szCs w:val="20"/>
        </w:rPr>
        <w:t xml:space="preserve">AquaZeroFit, an AquaZero product</w:t>
      </w:r>
    </w:p>
    <w:p>
      <w:pPr>
        <w:spacing w:after="60"/>
        <w:jc w:val="center"/>
      </w:pPr>
      <w:r>
        <w:rPr>
          <w:color w:val="5A6672"/>
          <w:sz w:val="19"/>
          <w:szCs w:val="19"/>
        </w:rPr>
        <w:t xml:space="preserve">NIT3003 IT Capstone Project, Project 5</w:t>
      </w:r>
    </w:p>
    <w:p>
      <w:pPr>
        <w:jc w:val="center"/>
      </w:pPr>
      <w:r>
        <w:rPr>
          <w:color w:val="5A6672"/>
          <w:sz w:val="19"/>
          <w:szCs w:val="19"/>
        </w:rPr>
        <w:t xml:space="preserve">Group 15, Victoria University, Melbourne, Australia</w:t>
      </w:r>
    </w:p>
    <w:p>
      <w:pPr>
        <w:spacing w:before="240"/>
        <w:jc w:val="center"/>
      </w:pPr>
      <w:r>
        <w:rPr>
          <w:color w:val="5A6672"/>
          <w:sz w:val="18"/>
          <w:szCs w:val="18"/>
        </w:rPr>
        <w:t xml:space="preserve">Version 2.0, July 2026</w:t>
      </w:r>
    </w:p>
    <w:p>
      <w:r>
        <w:br w:type="page"/>
      </w:r>
    </w:p>
    <w:p>
      <w:pPr>
        <w:pStyle w:val="Heading1"/>
        <w:pBdr>
          <w:bottom w:val="single" w:color="21C0DA" w:sz="6"/>
        </w:pBdr>
        <w:spacing w:after="140" w:before="300"/>
      </w:pPr>
      <w:r>
        <w:rPr>
          <w:b/>
          <w:bCs/>
          <w:color w:val="0B2233"/>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Document</w:t>
            </w:r>
          </w:p>
        </w:tc>
        <w:tc>
          <w:tcPr>
            <w:tcW w:type="dxa" w:w="6926"/>
            <w:tcMar>
              <w:top w:type="dxa" w:w="55"/>
              <w:left w:type="dxa" w:w="90"/>
              <w:bottom w:type="dxa" w:w="55"/>
              <w:right w:type="dxa" w:w="90"/>
            </w:tcMar>
          </w:tcPr>
          <w:p>
            <w:r>
              <w:rPr>
                <w:b w:val="false"/>
                <w:bCs w:val="false"/>
                <w:color w:val="000000"/>
                <w:sz w:val="18"/>
                <w:szCs w:val="18"/>
              </w:rPr>
              <w:t xml:space="preserve">AQF-08 UML Diagram Package</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Version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2.0 (AquaZeroFit rebrand, diagrams added)</w:t>
            </w:r>
          </w:p>
        </w:tc>
      </w:tr>
      <w:tr>
        <w:tc>
          <w:tcPr>
            <w:tcW w:type="dxa" w:w="2100"/>
            <w:tcMar>
              <w:top w:type="dxa" w:w="55"/>
              <w:left w:type="dxa" w:w="90"/>
              <w:bottom w:type="dxa" w:w="55"/>
              <w:right w:type="dxa" w:w="90"/>
            </w:tcMar>
          </w:tcPr>
          <w:p>
            <w:r>
              <w:rPr>
                <w:b w:val="false"/>
                <w:bCs w:val="false"/>
                <w:color w:val="000000"/>
                <w:sz w:val="18"/>
                <w:szCs w:val="18"/>
              </w:rPr>
              <w:t xml:space="preserve">Purpose</w:t>
            </w:r>
          </w:p>
        </w:tc>
        <w:tc>
          <w:tcPr>
            <w:tcW w:type="dxa" w:w="6926"/>
            <w:tcMar>
              <w:top w:type="dxa" w:w="55"/>
              <w:left w:type="dxa" w:w="90"/>
              <w:bottom w:type="dxa" w:w="55"/>
              <w:right w:type="dxa" w:w="90"/>
            </w:tcMar>
          </w:tcPr>
          <w:p>
            <w:r>
              <w:rPr>
                <w:b w:val="false"/>
                <w:bCs w:val="false"/>
                <w:color w:val="000000"/>
                <w:sz w:val="18"/>
                <w:szCs w:val="18"/>
              </w:rPr>
              <w:t xml:space="preserve">Provide the modelling views required by the unit brief, each tied to the requirement or flow it explains.</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Document owner</w:t>
            </w:r>
          </w:p>
        </w:tc>
        <w:tc>
          <w:tcPr>
            <w:tcW w:type="dxa" w:w="6926"/>
            <w:shd w:fill="F4FAFC" w:val="clear"/>
            <w:tcMar>
              <w:top w:type="dxa" w:w="55"/>
              <w:left w:type="dxa" w:w="90"/>
              <w:bottom w:type="dxa" w:w="55"/>
              <w:right w:type="dxa" w:w="90"/>
            </w:tcMar>
          </w:tcPr>
          <w:p>
            <w:r>
              <w:rPr>
                <w:b w:val="false"/>
                <w:bCs w:val="false"/>
                <w:color w:val="000000"/>
                <w:sz w:val="18"/>
                <w:szCs w:val="18"/>
              </w:rPr>
              <w:t xml:space="preserve">Babatundji Williams-Fulwood, Technical Lead and Software Architect</w:t>
            </w:r>
          </w:p>
        </w:tc>
      </w:tr>
      <w:tr>
        <w:tc>
          <w:tcPr>
            <w:tcW w:type="dxa" w:w="2100"/>
            <w:tcMar>
              <w:top w:type="dxa" w:w="55"/>
              <w:left w:type="dxa" w:w="90"/>
              <w:bottom w:type="dxa" w:w="55"/>
              <w:right w:type="dxa" w:w="90"/>
            </w:tcMar>
          </w:tcPr>
          <w:p>
            <w:r>
              <w:rPr>
                <w:b w:val="false"/>
                <w:bCs w:val="false"/>
                <w:color w:val="000000"/>
                <w:sz w:val="18"/>
                <w:szCs w:val="18"/>
              </w:rPr>
              <w:t xml:space="preserve">Contributors</w:t>
            </w:r>
          </w:p>
        </w:tc>
        <w:tc>
          <w:tcPr>
            <w:tcW w:type="dxa" w:w="6926"/>
            <w:tcMar>
              <w:top w:type="dxa" w:w="55"/>
              <w:left w:type="dxa" w:w="90"/>
              <w:bottom w:type="dxa" w:w="55"/>
              <w:right w:type="dxa" w:w="90"/>
            </w:tcMar>
          </w:tcPr>
          <w:p>
            <w:r>
              <w:rPr>
                <w:b w:val="false"/>
                <w:bCs w:val="false"/>
                <w:color w:val="000000"/>
                <w:sz w:val="18"/>
                <w:szCs w:val="18"/>
              </w:rPr>
              <w:t xml:space="preserve">Eric La (Frontend), Victor Hong (Data and Quality)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[To be completed by the team]</w:t>
            </w:r>
          </w:p>
        </w:tc>
      </w:tr>
      <w:tr>
        <w:tc>
          <w:tcPr>
            <w:tcW w:type="dxa" w:w="2100"/>
            <w:tcMar>
              <w:top w:type="dxa" w:w="55"/>
              <w:left w:type="dxa" w:w="90"/>
              <w:bottom w:type="dxa" w:w="55"/>
              <w:right w:type="dxa" w:w="90"/>
            </w:tcMar>
          </w:tcPr>
          <w:p>
            <w:r>
              <w:rPr>
                <w:b w:val="false"/>
                <w:bCs w:val="false"/>
                <w:color w:val="000000"/>
                <w:sz w:val="18"/>
                <w:szCs w:val="18"/>
              </w:rPr>
              <w:t xml:space="preserve">Status</w:t>
            </w:r>
          </w:p>
        </w:tc>
        <w:tc>
          <w:tcPr>
            <w:tcW w:type="dxa" w:w="6926"/>
            <w:tcMar>
              <w:top w:type="dxa" w:w="55"/>
              <w:left w:type="dxa" w:w="90"/>
              <w:bottom w:type="dxa" w:w="55"/>
              <w:right w:type="dxa" w:w="90"/>
            </w:tcMar>
          </w:tcPr>
          <w:p>
            <w:r>
              <w:rPr>
                <w:b w:val="false"/>
                <w:bCs w:val="false"/>
                <w:color w:val="000000"/>
                <w:sz w:val="18"/>
                <w:szCs w:val="18"/>
              </w:rPr>
              <w:t xml:space="preserve">Draft for supervisor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Change history</w:t>
            </w:r>
          </w:p>
        </w:tc>
        <w:tc>
          <w:tcPr>
            <w:tcW w:type="dxa" w:w="6926"/>
            <w:shd w:fill="F4FAFC" w:val="clear"/>
            <w:tcMar>
              <w:top w:type="dxa" w:w="55"/>
              <w:left w:type="dxa" w:w="90"/>
              <w:bottom w:type="dxa" w:w="55"/>
              <w:right w:type="dxa" w:w="90"/>
            </w:tcMar>
          </w:tcPr>
          <w:p>
            <w:r>
              <w:rPr>
                <w:b w:val="false"/>
                <w:bCs w:val="false"/>
                <w:color w:val="000000"/>
                <w:sz w:val="18"/>
                <w:szCs w:val="18"/>
              </w:rPr>
              <w:t xml:space="preserve">v1.0 initial draft as VitalAI. v2.0 rebranded to AquaZeroFit, diagrams added, roles assigned, sequencing applied</w:t>
            </w:r>
          </w:p>
        </w:tc>
      </w:tr>
    </w:tbl>
    <w:p>
      <w:pPr>
        <w:pStyle w:val="Heading1"/>
        <w:pBdr>
          <w:bottom w:val="single" w:color="21C0DA" w:sz="6"/>
        </w:pBdr>
        <w:spacing w:after="140" w:before="300"/>
      </w:pPr>
      <w:r>
        <w:rPr>
          <w:b/>
          <w:bCs/>
          <w:color w:val="0B2233"/>
          <w:sz w:val="30"/>
          <w:szCs w:val="30"/>
        </w:rPr>
        <w:t xml:space="preserve">1. How to Read This Package</w:t>
      </w:r>
    </w:p>
    <w:p>
      <w:pPr>
        <w:spacing w:after="110"/>
      </w:pPr>
      <w:r>
        <w:rPr>
          <w:b w:val="false"/>
          <w:bCs w:val="false"/>
          <w:i w:val="false"/>
          <w:iCs w:val="false"/>
          <w:color w:val="000000"/>
          <w:sz w:val="21"/>
          <w:szCs w:val="21"/>
        </w:rPr>
        <w:t xml:space="preserve">Each diagram is generated from the design documents rather than drawn independently, so the package cannot drift from the architecture. Source files are versioned in the repository under /docs/uml alongside the exported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shd w:fill="0B2233" w:val="clear"/>
            <w:tcMar>
              <w:top w:type="dxa" w:w="55"/>
              <w:left w:type="dxa" w:w="90"/>
              <w:bottom w:type="dxa" w:w="55"/>
              <w:right w:type="dxa" w:w="90"/>
            </w:tcMar>
          </w:tcPr>
          <w:p>
            <w:r>
              <w:rPr>
                <w:b/>
                <w:bCs/>
                <w:color w:val="FFFFFF"/>
                <w:sz w:val="18"/>
                <w:szCs w:val="18"/>
              </w:rPr>
              <w:t xml:space="preserve">View</w:t>
            </w:r>
          </w:p>
        </w:tc>
        <w:tc>
          <w:tcPr>
            <w:tcW w:type="dxa" w:w="4600"/>
            <w:shd w:fill="0B2233" w:val="clear"/>
            <w:tcMar>
              <w:top w:type="dxa" w:w="55"/>
              <w:left w:type="dxa" w:w="90"/>
              <w:bottom w:type="dxa" w:w="55"/>
              <w:right w:type="dxa" w:w="90"/>
            </w:tcMar>
          </w:tcPr>
          <w:p>
            <w:r>
              <w:rPr>
                <w:b/>
                <w:bCs/>
                <w:color w:val="FFFFFF"/>
                <w:sz w:val="18"/>
                <w:szCs w:val="18"/>
              </w:rPr>
              <w:t xml:space="preserve">Answers</w:t>
            </w:r>
          </w:p>
        </w:tc>
        <w:tc>
          <w:tcPr>
            <w:tcW w:type="dxa" w:w="2026"/>
            <w:shd w:fill="0B2233" w:val="clear"/>
            <w:tcMar>
              <w:top w:type="dxa" w:w="55"/>
              <w:left w:type="dxa" w:w="90"/>
              <w:bottom w:type="dxa" w:w="55"/>
              <w:right w:type="dxa" w:w="90"/>
            </w:tcMar>
          </w:tcPr>
          <w:p>
            <w:r>
              <w:rPr>
                <w:b/>
                <w:bCs/>
                <w:color w:val="FFFFFF"/>
                <w:sz w:val="18"/>
                <w:szCs w:val="18"/>
              </w:rPr>
              <w:t xml:space="preserve">Figure</w:t>
            </w:r>
          </w:p>
        </w:tc>
      </w:tr>
      <w:tr>
        <w:tc>
          <w:tcPr>
            <w:tcW w:type="dxa" w:w="2400"/>
            <w:tcMar>
              <w:top w:type="dxa" w:w="55"/>
              <w:left w:type="dxa" w:w="90"/>
              <w:bottom w:type="dxa" w:w="55"/>
              <w:right w:type="dxa" w:w="90"/>
            </w:tcMar>
          </w:tcPr>
          <w:p>
            <w:r>
              <w:rPr>
                <w:b w:val="false"/>
                <w:bCs w:val="false"/>
                <w:color w:val="000000"/>
                <w:sz w:val="18"/>
                <w:szCs w:val="18"/>
              </w:rPr>
              <w:t xml:space="preserve">Use case</w:t>
            </w:r>
          </w:p>
        </w:tc>
        <w:tc>
          <w:tcPr>
            <w:tcW w:type="dxa" w:w="4600"/>
            <w:tcMar>
              <w:top w:type="dxa" w:w="55"/>
              <w:left w:type="dxa" w:w="90"/>
              <w:bottom w:type="dxa" w:w="55"/>
              <w:right w:type="dxa" w:w="90"/>
            </w:tcMar>
          </w:tcPr>
          <w:p>
            <w:r>
              <w:rPr>
                <w:b w:val="false"/>
                <w:bCs w:val="false"/>
                <w:color w:val="000000"/>
                <w:sz w:val="18"/>
                <w:szCs w:val="18"/>
              </w:rPr>
              <w:t xml:space="preserve">Who uses the system and what they can do</w:t>
            </w:r>
          </w:p>
        </w:tc>
        <w:tc>
          <w:tcPr>
            <w:tcW w:type="dxa" w:w="2026"/>
            <w:tcMar>
              <w:top w:type="dxa" w:w="55"/>
              <w:left w:type="dxa" w:w="90"/>
              <w:bottom w:type="dxa" w:w="55"/>
              <w:right w:type="dxa" w:w="90"/>
            </w:tcMar>
          </w:tcPr>
          <w:p>
            <w:r>
              <w:rPr>
                <w:b w:val="false"/>
                <w:bCs w:val="false"/>
                <w:color w:val="000000"/>
                <w:sz w:val="18"/>
                <w:szCs w:val="18"/>
              </w:rPr>
              <w:t xml:space="preserve">8.1</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Class</w:t>
            </w:r>
          </w:p>
        </w:tc>
        <w:tc>
          <w:tcPr>
            <w:tcW w:type="dxa" w:w="4600"/>
            <w:shd w:fill="F4FAFC" w:val="clear"/>
            <w:tcMar>
              <w:top w:type="dxa" w:w="55"/>
              <w:left w:type="dxa" w:w="90"/>
              <w:bottom w:type="dxa" w:w="55"/>
              <w:right w:type="dxa" w:w="90"/>
            </w:tcMar>
          </w:tcPr>
          <w:p>
            <w:r>
              <w:rPr>
                <w:b w:val="false"/>
                <w:bCs w:val="false"/>
                <w:color w:val="000000"/>
                <w:sz w:val="18"/>
                <w:szCs w:val="18"/>
              </w:rPr>
              <w:t xml:space="preserve">What the code objects are and how they relate</w:t>
            </w:r>
          </w:p>
        </w:tc>
        <w:tc>
          <w:tcPr>
            <w:tcW w:type="dxa" w:w="2026"/>
            <w:shd w:fill="F4FAFC" w:val="clear"/>
            <w:tcMar>
              <w:top w:type="dxa" w:w="55"/>
              <w:left w:type="dxa" w:w="90"/>
              <w:bottom w:type="dxa" w:w="55"/>
              <w:right w:type="dxa" w:w="90"/>
            </w:tcMar>
          </w:tcPr>
          <w:p>
            <w:r>
              <w:rPr>
                <w:b w:val="false"/>
                <w:bCs w:val="false"/>
                <w:color w:val="000000"/>
                <w:sz w:val="18"/>
                <w:szCs w:val="18"/>
              </w:rPr>
              <w:t xml:space="preserve">8.2</w:t>
            </w:r>
          </w:p>
        </w:tc>
      </w:tr>
      <w:tr>
        <w:tc>
          <w:tcPr>
            <w:tcW w:type="dxa" w:w="2400"/>
            <w:tcMar>
              <w:top w:type="dxa" w:w="55"/>
              <w:left w:type="dxa" w:w="90"/>
              <w:bottom w:type="dxa" w:w="55"/>
              <w:right w:type="dxa" w:w="90"/>
            </w:tcMar>
          </w:tcPr>
          <w:p>
            <w:r>
              <w:rPr>
                <w:b w:val="false"/>
                <w:bCs w:val="false"/>
                <w:color w:val="000000"/>
                <w:sz w:val="18"/>
                <w:szCs w:val="18"/>
              </w:rPr>
              <w:t xml:space="preserve">Sequence: authentication</w:t>
            </w:r>
          </w:p>
        </w:tc>
        <w:tc>
          <w:tcPr>
            <w:tcW w:type="dxa" w:w="4600"/>
            <w:tcMar>
              <w:top w:type="dxa" w:w="55"/>
              <w:left w:type="dxa" w:w="90"/>
              <w:bottom w:type="dxa" w:w="55"/>
              <w:right w:type="dxa" w:w="90"/>
            </w:tcMar>
          </w:tcPr>
          <w:p>
            <w:r>
              <w:rPr>
                <w:b w:val="false"/>
                <w:bCs w:val="false"/>
                <w:color w:val="000000"/>
                <w:sz w:val="18"/>
                <w:szCs w:val="18"/>
              </w:rPr>
              <w:t xml:space="preserve">How a Mini App user is trusted</w:t>
            </w:r>
          </w:p>
        </w:tc>
        <w:tc>
          <w:tcPr>
            <w:tcW w:type="dxa" w:w="2026"/>
            <w:tcMar>
              <w:top w:type="dxa" w:w="55"/>
              <w:left w:type="dxa" w:w="90"/>
              <w:bottom w:type="dxa" w:w="55"/>
              <w:right w:type="dxa" w:w="90"/>
            </w:tcMar>
          </w:tcPr>
          <w:p>
            <w:r>
              <w:rPr>
                <w:b w:val="false"/>
                <w:bCs w:val="false"/>
                <w:color w:val="000000"/>
                <w:sz w:val="18"/>
                <w:szCs w:val="18"/>
              </w:rPr>
              <w:t xml:space="preserve">8.3</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Sequence: meal photograph</w:t>
            </w:r>
          </w:p>
        </w:tc>
        <w:tc>
          <w:tcPr>
            <w:tcW w:type="dxa" w:w="4600"/>
            <w:shd w:fill="F4FAFC" w:val="clear"/>
            <w:tcMar>
              <w:top w:type="dxa" w:w="55"/>
              <w:left w:type="dxa" w:w="90"/>
              <w:bottom w:type="dxa" w:w="55"/>
              <w:right w:type="dxa" w:w="90"/>
            </w:tcMar>
          </w:tcPr>
          <w:p>
            <w:r>
              <w:rPr>
                <w:b w:val="false"/>
                <w:bCs w:val="false"/>
                <w:color w:val="000000"/>
                <w:sz w:val="18"/>
                <w:szCs w:val="18"/>
              </w:rPr>
              <w:t xml:space="preserve">How a photograph becomes a verified log</w:t>
            </w:r>
          </w:p>
        </w:tc>
        <w:tc>
          <w:tcPr>
            <w:tcW w:type="dxa" w:w="2026"/>
            <w:shd w:fill="F4FAFC" w:val="clear"/>
            <w:tcMar>
              <w:top w:type="dxa" w:w="55"/>
              <w:left w:type="dxa" w:w="90"/>
              <w:bottom w:type="dxa" w:w="55"/>
              <w:right w:type="dxa" w:w="90"/>
            </w:tcMar>
          </w:tcPr>
          <w:p>
            <w:r>
              <w:rPr>
                <w:b w:val="false"/>
                <w:bCs w:val="false"/>
                <w:color w:val="000000"/>
                <w:sz w:val="18"/>
                <w:szCs w:val="18"/>
              </w:rPr>
              <w:t xml:space="preserve">8.4</w:t>
            </w:r>
          </w:p>
        </w:tc>
      </w:tr>
      <w:tr>
        <w:tc>
          <w:tcPr>
            <w:tcW w:type="dxa" w:w="2400"/>
            <w:tcMar>
              <w:top w:type="dxa" w:w="55"/>
              <w:left w:type="dxa" w:w="90"/>
              <w:bottom w:type="dxa" w:w="55"/>
              <w:right w:type="dxa" w:w="90"/>
            </w:tcMar>
          </w:tcPr>
          <w:p>
            <w:r>
              <w:rPr>
                <w:b w:val="false"/>
                <w:bCs w:val="false"/>
                <w:color w:val="000000"/>
                <w:sz w:val="18"/>
                <w:szCs w:val="18"/>
              </w:rPr>
              <w:t xml:space="preserve">Activity</w:t>
            </w:r>
          </w:p>
        </w:tc>
        <w:tc>
          <w:tcPr>
            <w:tcW w:type="dxa" w:w="4600"/>
            <w:tcMar>
              <w:top w:type="dxa" w:w="55"/>
              <w:left w:type="dxa" w:w="90"/>
              <w:bottom w:type="dxa" w:w="55"/>
              <w:right w:type="dxa" w:w="90"/>
            </w:tcMar>
          </w:tcPr>
          <w:p>
            <w:r>
              <w:rPr>
                <w:b w:val="false"/>
                <w:bCs w:val="false"/>
                <w:color w:val="000000"/>
                <w:sz w:val="18"/>
                <w:szCs w:val="18"/>
              </w:rPr>
              <w:t xml:space="preserve">How a new user reaches their first plan safely</w:t>
            </w:r>
          </w:p>
        </w:tc>
        <w:tc>
          <w:tcPr>
            <w:tcW w:type="dxa" w:w="2026"/>
            <w:tcMar>
              <w:top w:type="dxa" w:w="55"/>
              <w:left w:type="dxa" w:w="90"/>
              <w:bottom w:type="dxa" w:w="55"/>
              <w:right w:type="dxa" w:w="90"/>
            </w:tcMar>
          </w:tcPr>
          <w:p>
            <w:r>
              <w:rPr>
                <w:b w:val="false"/>
                <w:bCs w:val="false"/>
                <w:color w:val="000000"/>
                <w:sz w:val="18"/>
                <w:szCs w:val="18"/>
              </w:rPr>
              <w:t xml:space="preserve">8.5</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State</w:t>
            </w:r>
          </w:p>
        </w:tc>
        <w:tc>
          <w:tcPr>
            <w:tcW w:type="dxa" w:w="4600"/>
            <w:shd w:fill="F4FAFC" w:val="clear"/>
            <w:tcMar>
              <w:top w:type="dxa" w:w="55"/>
              <w:left w:type="dxa" w:w="90"/>
              <w:bottom w:type="dxa" w:w="55"/>
              <w:right w:type="dxa" w:w="90"/>
            </w:tcMar>
          </w:tcPr>
          <w:p>
            <w:r>
              <w:rPr>
                <w:b w:val="false"/>
                <w:bCs w:val="false"/>
                <w:color w:val="000000"/>
                <w:sz w:val="18"/>
                <w:szCs w:val="18"/>
              </w:rPr>
              <w:t xml:space="preserve">How asynchronous jobs and sessions transition</w:t>
            </w:r>
          </w:p>
        </w:tc>
        <w:tc>
          <w:tcPr>
            <w:tcW w:type="dxa" w:w="2026"/>
            <w:shd w:fill="F4FAFC" w:val="clear"/>
            <w:tcMar>
              <w:top w:type="dxa" w:w="55"/>
              <w:left w:type="dxa" w:w="90"/>
              <w:bottom w:type="dxa" w:w="55"/>
              <w:right w:type="dxa" w:w="90"/>
            </w:tcMar>
          </w:tcPr>
          <w:p>
            <w:r>
              <w:rPr>
                <w:b w:val="false"/>
                <w:bCs w:val="false"/>
                <w:color w:val="000000"/>
                <w:sz w:val="18"/>
                <w:szCs w:val="18"/>
              </w:rPr>
              <w:t xml:space="preserve">8.6</w:t>
            </w:r>
          </w:p>
        </w:tc>
      </w:tr>
      <w:tr>
        <w:tc>
          <w:tcPr>
            <w:tcW w:type="dxa" w:w="2400"/>
            <w:tcMar>
              <w:top w:type="dxa" w:w="55"/>
              <w:left w:type="dxa" w:w="90"/>
              <w:bottom w:type="dxa" w:w="55"/>
              <w:right w:type="dxa" w:w="90"/>
            </w:tcMar>
          </w:tcPr>
          <w:p>
            <w:r>
              <w:rPr>
                <w:b w:val="false"/>
                <w:bCs w:val="false"/>
                <w:color w:val="000000"/>
                <w:sz w:val="18"/>
                <w:szCs w:val="18"/>
              </w:rPr>
              <w:t xml:space="preserve">Deployment</w:t>
            </w:r>
          </w:p>
        </w:tc>
        <w:tc>
          <w:tcPr>
            <w:tcW w:type="dxa" w:w="4600"/>
            <w:tcMar>
              <w:top w:type="dxa" w:w="55"/>
              <w:left w:type="dxa" w:w="90"/>
              <w:bottom w:type="dxa" w:w="55"/>
              <w:right w:type="dxa" w:w="90"/>
            </w:tcMar>
          </w:tcPr>
          <w:p>
            <w:r>
              <w:rPr>
                <w:b w:val="false"/>
                <w:bCs w:val="false"/>
                <w:color w:val="000000"/>
                <w:sz w:val="18"/>
                <w:szCs w:val="18"/>
              </w:rPr>
              <w:t xml:space="preserve">Where the software runs and how it is released</w:t>
            </w:r>
          </w:p>
        </w:tc>
        <w:tc>
          <w:tcPr>
            <w:tcW w:type="dxa" w:w="2026"/>
            <w:tcMar>
              <w:top w:type="dxa" w:w="55"/>
              <w:left w:type="dxa" w:w="90"/>
              <w:bottom w:type="dxa" w:w="55"/>
              <w:right w:type="dxa" w:w="90"/>
            </w:tcMar>
          </w:tcPr>
          <w:p>
            <w:r>
              <w:rPr>
                <w:b w:val="false"/>
                <w:bCs w:val="false"/>
                <w:color w:val="000000"/>
                <w:sz w:val="18"/>
                <w:szCs w:val="18"/>
              </w:rPr>
              <w:t xml:space="preserve">8.7</w:t>
            </w:r>
          </w:p>
        </w:tc>
      </w:tr>
    </w:tbl>
    <w:p>
      <w:pPr>
        <w:pStyle w:val="Heading1"/>
        <w:pBdr>
          <w:bottom w:val="single" w:color="21C0DA" w:sz="6"/>
        </w:pBdr>
        <w:spacing w:after="140" w:before="300"/>
      </w:pPr>
      <w:r>
        <w:rPr>
          <w:b/>
          <w:bCs/>
          <w:color w:val="0B2233"/>
          <w:sz w:val="30"/>
          <w:szCs w:val="30"/>
        </w:rPr>
        <w:t xml:space="preserve">2. Use Case View</w:t>
      </w:r>
    </w:p>
    <w:p>
      <w:pPr>
        <w:spacing w:after="40" w:before="140"/>
        <w:jc w:val="center"/>
      </w:pPr>
      <w:r>
        <w:drawing>
          <wp:inline distT="0" distB="0" distL="0" distR="0">
            <wp:extent cx="4286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190750"/>
                    </a:xfrm>
                    <a:prstGeom prst="rect">
                      <a:avLst/>
                    </a:prstGeom>
                  </pic:spPr>
                </pic:pic>
              </a:graphicData>
            </a:graphic>
          </wp:inline>
        </w:drawing>
      </w:r>
    </w:p>
    <w:p>
      <w:pPr>
        <w:spacing w:after="160"/>
        <w:jc w:val="center"/>
      </w:pPr>
      <w:r>
        <w:rPr>
          <w:i/>
          <w:iCs/>
          <w:color w:val="5A6672"/>
          <w:sz w:val="17"/>
          <w:szCs w:val="17"/>
        </w:rPr>
        <w:t xml:space="preserve">Figure 8.1: Use case diagram with system boundary and secondary actor</w:t>
      </w:r>
    </w:p>
    <w:p>
      <w:pPr>
        <w:spacing w:after="110"/>
      </w:pPr>
      <w:r>
        <w:rPr>
          <w:b w:val="false"/>
          <w:bCs w:val="false"/>
          <w:i w:val="false"/>
          <w:iCs w:val="false"/>
          <w:color w:val="000000"/>
          <w:sz w:val="21"/>
          <w:szCs w:val="21"/>
        </w:rPr>
        <w:t xml:space="preserve">The AI providers appear as a secondary actor reached only through the gateway. They are never invoked directly by a use case, which is the modelling expression of the boundary rule in ADR-004.</w:t>
      </w:r>
    </w:p>
    <w:p>
      <w:pPr>
        <w:pStyle w:val="Heading1"/>
        <w:pBdr>
          <w:bottom w:val="single" w:color="21C0DA" w:sz="6"/>
        </w:pBdr>
        <w:spacing w:after="140" w:before="300"/>
      </w:pPr>
      <w:r>
        <w:rPr>
          <w:b/>
          <w:bCs/>
          <w:color w:val="0B2233"/>
          <w:sz w:val="30"/>
          <w:szCs w:val="30"/>
        </w:rPr>
        <w:t xml:space="preserve">3. Class View</w:t>
      </w:r>
    </w:p>
    <w:p>
      <w:pPr>
        <w:spacing w:after="40" w:before="14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160"/>
        <w:jc w:val="center"/>
      </w:pPr>
      <w:r>
        <w:rPr>
          <w:i/>
          <w:iCs/>
          <w:color w:val="5A6672"/>
          <w:sz w:val="17"/>
          <w:szCs w:val="17"/>
        </w:rPr>
        <w:t xml:space="preserve">Figure 8.2: Domain and service classes with key attributes and operations</w:t>
      </w:r>
    </w:p>
    <w:p>
      <w:pPr>
        <w:pStyle w:val="ListParagraph"/>
        <w:numPr>
          <w:ilvl w:val="0"/>
          <w:numId w:val="2"/>
        </w:numPr>
        <w:spacing w:after="55"/>
      </w:pPr>
      <w:r>
        <w:rPr>
          <w:sz w:val="21"/>
          <w:szCs w:val="21"/>
        </w:rPr>
        <w:t xml:space="preserve">TargetCalculator is deliberately separate from WellnessProfile so the metabolic formula and its safety clamp can be unit tested in isolation to full branch coverage.</w:t>
      </w:r>
    </w:p>
    <w:p>
      <w:pPr>
        <w:pStyle w:val="ListParagraph"/>
        <w:numPr>
          <w:ilvl w:val="0"/>
          <w:numId w:val="2"/>
        </w:numPr>
        <w:spacing w:after="55"/>
      </w:pPr>
      <w:r>
        <w:rPr>
          <w:sz w:val="21"/>
          <w:szCs w:val="21"/>
        </w:rPr>
        <w:t xml:space="preserve">Guardrails is a dependency of AIGateway rather than a caller, so no code path can reach a provider without passing through it.</w:t>
      </w:r>
    </w:p>
    <w:p>
      <w:pPr>
        <w:pStyle w:val="ListParagraph"/>
        <w:numPr>
          <w:ilvl w:val="0"/>
          <w:numId w:val="2"/>
        </w:numPr>
        <w:spacing w:after="55"/>
      </w:pPr>
      <w:r>
        <w:rPr>
          <w:sz w:val="21"/>
          <w:szCs w:val="21"/>
        </w:rPr>
        <w:t xml:space="preserve">WorkoutScheduler reads progression rules as data; it contains no per-exercise branching logic.</w:t>
      </w:r>
    </w:p>
    <w:p>
      <w:pPr>
        <w:pStyle w:val="Heading1"/>
        <w:pBdr>
          <w:bottom w:val="single" w:color="21C0DA" w:sz="6"/>
        </w:pBdr>
        <w:spacing w:after="140" w:before="300"/>
      </w:pPr>
      <w:r>
        <w:rPr>
          <w:b/>
          <w:bCs/>
          <w:color w:val="0B2233"/>
          <w:sz w:val="30"/>
          <w:szCs w:val="30"/>
        </w:rPr>
        <w:t xml:space="preserve">4. Sequence Views</w:t>
      </w:r>
    </w:p>
    <w:p>
      <w:pPr>
        <w:spacing w:after="40" w:before="14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143125"/>
                    </a:xfrm>
                    <a:prstGeom prst="rect">
                      <a:avLst/>
                    </a:prstGeom>
                  </pic:spPr>
                </pic:pic>
              </a:graphicData>
            </a:graphic>
          </wp:inline>
        </w:drawing>
      </w:r>
    </w:p>
    <w:p>
      <w:pPr>
        <w:spacing w:after="160"/>
        <w:jc w:val="center"/>
      </w:pPr>
      <w:r>
        <w:rPr>
          <w:i/>
          <w:iCs/>
          <w:color w:val="5A6672"/>
          <w:sz w:val="17"/>
          <w:szCs w:val="17"/>
        </w:rPr>
        <w:t xml:space="preserve">Figure 8.3: Telegram Mini App authentication and token issuance</w:t>
      </w:r>
    </w:p>
    <w:p>
      <w:pPr>
        <w:spacing w:after="40" w:before="140"/>
        <w:jc w:val="center"/>
      </w:pPr>
      <w:r>
        <w:drawing>
          <wp:inline distT="0" distB="0" distL="0" distR="0">
            <wp:extent cx="4476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190750"/>
                    </a:xfrm>
                    <a:prstGeom prst="rect">
                      <a:avLst/>
                    </a:prstGeom>
                  </pic:spPr>
                </pic:pic>
              </a:graphicData>
            </a:graphic>
          </wp:inline>
        </w:drawing>
      </w:r>
    </w:p>
    <w:p>
      <w:pPr>
        <w:spacing w:after="160"/>
        <w:jc w:val="center"/>
      </w:pPr>
      <w:r>
        <w:rPr>
          <w:i/>
          <w:iCs/>
          <w:color w:val="5A6672"/>
          <w:sz w:val="17"/>
          <w:szCs w:val="17"/>
        </w:rPr>
        <w:t xml:space="preserve">Figure 8.4: Meal photograph from upload to confirmed log, showing the deterministic calculation step</w:t>
      </w:r>
    </w:p>
    <w:p>
      <w:pPr>
        <w:spacing w:after="110"/>
      </w:pPr>
      <w:r>
        <w:rPr>
          <w:b w:val="false"/>
          <w:bCs w:val="false"/>
          <w:i w:val="false"/>
          <w:iCs w:val="false"/>
          <w:color w:val="000000"/>
          <w:sz w:val="21"/>
          <w:szCs w:val="21"/>
        </w:rPr>
        <w:t xml:space="preserve">Note in Figure 8.4 that the model returns identified foods and portions only. Mapping, filtering and arithmetic occur in code between the model response and the stored prediction. This is the visual statement of ADR-015.</w:t>
      </w:r>
    </w:p>
    <w:p>
      <w:pPr>
        <w:pStyle w:val="Heading1"/>
        <w:pBdr>
          <w:bottom w:val="single" w:color="21C0DA" w:sz="6"/>
        </w:pBdr>
        <w:spacing w:after="140" w:before="300"/>
      </w:pPr>
      <w:r>
        <w:rPr>
          <w:b/>
          <w:bCs/>
          <w:color w:val="0B2233"/>
          <w:sz w:val="30"/>
          <w:szCs w:val="30"/>
        </w:rPr>
        <w:t xml:space="preserve">5. Activity View</w:t>
      </w:r>
    </w:p>
    <w:p>
      <w:pPr>
        <w:spacing w:after="40" w:before="14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160"/>
        <w:jc w:val="center"/>
      </w:pPr>
      <w:r>
        <w:rPr>
          <w:i/>
          <w:iCs/>
          <w:color w:val="5A6672"/>
          <w:sz w:val="17"/>
          <w:szCs w:val="17"/>
        </w:rPr>
        <w:t xml:space="preserve">Figure 8.5: Onboarding to first plan, including the safety clamp decision</w:t>
      </w:r>
    </w:p>
    <w:p>
      <w:pPr>
        <w:spacing w:after="110"/>
      </w:pPr>
      <w:r>
        <w:rPr>
          <w:b w:val="false"/>
          <w:bCs w:val="false"/>
          <w:i w:val="false"/>
          <w:iCs w:val="false"/>
          <w:color w:val="000000"/>
          <w:sz w:val="21"/>
          <w:szCs w:val="21"/>
        </w:rPr>
        <w:t xml:space="preserve">The decision node is the safety clamp. If the computed target falls below the configured floor, the system clamps it, attaches an advisory and surfaces guidance to consult a professional. There is no path in which an unsafe target reaches the user.</w:t>
      </w:r>
    </w:p>
    <w:p>
      <w:pPr>
        <w:pStyle w:val="Heading1"/>
        <w:pBdr>
          <w:bottom w:val="single" w:color="21C0DA" w:sz="6"/>
        </w:pBdr>
        <w:spacing w:after="140" w:before="300"/>
      </w:pPr>
      <w:r>
        <w:rPr>
          <w:b/>
          <w:bCs/>
          <w:color w:val="0B2233"/>
          <w:sz w:val="30"/>
          <w:szCs w:val="30"/>
        </w:rPr>
        <w:t xml:space="preserve">6. State View</w:t>
      </w:r>
    </w:p>
    <w:p>
      <w:pPr>
        <w:spacing w:after="40" w:before="140"/>
        <w:jc w:val="center"/>
      </w:pPr>
      <w:r>
        <w:drawing>
          <wp:inline distT="0" distB="0" distL="0" distR="0">
            <wp:extent cx="4381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38350"/>
                    </a:xfrm>
                    <a:prstGeom prst="rect">
                      <a:avLst/>
                    </a:prstGeom>
                  </pic:spPr>
                </pic:pic>
              </a:graphicData>
            </a:graphic>
          </wp:inline>
        </w:drawing>
      </w:r>
    </w:p>
    <w:p>
      <w:pPr>
        <w:spacing w:after="160"/>
        <w:jc w:val="center"/>
      </w:pPr>
      <w:r>
        <w:rPr>
          <w:i/>
          <w:iCs/>
          <w:color w:val="5A6672"/>
          <w:sz w:val="17"/>
          <w:szCs w:val="17"/>
        </w:rPr>
        <w:t xml:space="preserve">Figure 8.6: Lifecycle of a vision job and of a workout session</w:t>
      </w:r>
    </w:p>
    <w:p>
      <w:pPr>
        <w:pStyle w:val="Heading1"/>
        <w:pBdr>
          <w:bottom w:val="single" w:color="21C0DA" w:sz="6"/>
        </w:pBdr>
        <w:spacing w:after="140" w:before="300"/>
      </w:pPr>
      <w:r>
        <w:rPr>
          <w:b/>
          <w:bCs/>
          <w:color w:val="0B2233"/>
          <w:sz w:val="30"/>
          <w:szCs w:val="30"/>
        </w:rPr>
        <w:t xml:space="preserve">7. Deployment View</w:t>
      </w:r>
    </w:p>
    <w:p>
      <w:pPr>
        <w:spacing w:after="40" w:before="140"/>
        <w:jc w:val="center"/>
      </w:pPr>
      <w:r>
        <w:drawing>
          <wp:inline distT="0" distB="0" distL="0" distR="0">
            <wp:extent cx="40957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590675"/>
                    </a:xfrm>
                    <a:prstGeom prst="rect">
                      <a:avLst/>
                    </a:prstGeom>
                  </pic:spPr>
                </pic:pic>
              </a:graphicData>
            </a:graphic>
          </wp:inline>
        </w:drawing>
      </w:r>
    </w:p>
    <w:p>
      <w:pPr>
        <w:spacing w:after="160"/>
        <w:jc w:val="center"/>
      </w:pPr>
      <w:r>
        <w:rPr>
          <w:i/>
          <w:iCs/>
          <w:color w:val="5A6672"/>
          <w:sz w:val="17"/>
          <w:szCs w:val="17"/>
        </w:rPr>
        <w:t xml:space="preserve">Figure 8.7: Deployment topology, release path and recovery route</w:t>
      </w:r>
    </w:p>
    <w:p>
      <w:pPr>
        <w:pStyle w:val="Heading1"/>
        <w:pBdr>
          <w:bottom w:val="single" w:color="21C0DA" w:sz="6"/>
        </w:pBdr>
        <w:spacing w:after="140" w:before="300"/>
      </w:pPr>
      <w:r>
        <w:rPr>
          <w:b/>
          <w:bCs/>
          <w:color w:val="0B2233"/>
          <w:sz w:val="30"/>
          <w:szCs w:val="30"/>
        </w:rPr>
        <w:t xml:space="preserve">8. Traceability of Diagrams to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B2233" w:val="clear"/>
            <w:tcMar>
              <w:top w:type="dxa" w:w="55"/>
              <w:left w:type="dxa" w:w="90"/>
              <w:bottom w:type="dxa" w:w="55"/>
              <w:right w:type="dxa" w:w="90"/>
            </w:tcMar>
          </w:tcPr>
          <w:p>
            <w:r>
              <w:rPr>
                <w:b/>
                <w:bCs/>
                <w:color w:val="FFFFFF"/>
                <w:sz w:val="18"/>
                <w:szCs w:val="18"/>
              </w:rPr>
              <w:t xml:space="preserve">Figure</w:t>
            </w:r>
          </w:p>
        </w:tc>
        <w:tc>
          <w:tcPr>
            <w:tcW w:type="dxa" w:w="6626"/>
            <w:shd w:fill="0B2233" w:val="clear"/>
            <w:tcMar>
              <w:top w:type="dxa" w:w="55"/>
              <w:left w:type="dxa" w:w="90"/>
              <w:bottom w:type="dxa" w:w="55"/>
              <w:right w:type="dxa" w:w="90"/>
            </w:tcMar>
          </w:tcPr>
          <w:p>
            <w:r>
              <w:rPr>
                <w:b/>
                <w:bCs/>
                <w:color w:val="FFFFFF"/>
                <w:sz w:val="18"/>
                <w:szCs w:val="18"/>
              </w:rPr>
              <w:t xml:space="preserve">Requirements covered</w:t>
            </w:r>
          </w:p>
        </w:tc>
      </w:tr>
      <w:tr>
        <w:tc>
          <w:tcPr>
            <w:tcW w:type="dxa" w:w="2400"/>
            <w:tcMar>
              <w:top w:type="dxa" w:w="55"/>
              <w:left w:type="dxa" w:w="90"/>
              <w:bottom w:type="dxa" w:w="55"/>
              <w:right w:type="dxa" w:w="90"/>
            </w:tcMar>
          </w:tcPr>
          <w:p>
            <w:r>
              <w:rPr>
                <w:b w:val="false"/>
                <w:bCs w:val="false"/>
                <w:color w:val="000000"/>
                <w:sz w:val="18"/>
                <w:szCs w:val="18"/>
              </w:rPr>
              <w:t xml:space="preserve">8.1 Use case</w:t>
            </w:r>
          </w:p>
        </w:tc>
        <w:tc>
          <w:tcPr>
            <w:tcW w:type="dxa" w:w="6626"/>
            <w:tcMar>
              <w:top w:type="dxa" w:w="55"/>
              <w:left w:type="dxa" w:w="90"/>
              <w:bottom w:type="dxa" w:w="55"/>
              <w:right w:type="dxa" w:w="90"/>
            </w:tcMar>
          </w:tcPr>
          <w:p>
            <w:r>
              <w:rPr>
                <w:b w:val="false"/>
                <w:bCs w:val="false"/>
                <w:color w:val="000000"/>
                <w:sz w:val="18"/>
                <w:szCs w:val="18"/>
              </w:rPr>
              <w:t xml:space="preserve">F1 to F10, brief requirements 1 to 9</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8.2 Class</w:t>
            </w:r>
          </w:p>
        </w:tc>
        <w:tc>
          <w:tcPr>
            <w:tcW w:type="dxa" w:w="6626"/>
            <w:shd w:fill="F4FAFC" w:val="clear"/>
            <w:tcMar>
              <w:top w:type="dxa" w:w="55"/>
              <w:left w:type="dxa" w:w="90"/>
              <w:bottom w:type="dxa" w:w="55"/>
              <w:right w:type="dxa" w:w="90"/>
            </w:tcMar>
          </w:tcPr>
          <w:p>
            <w:r>
              <w:rPr>
                <w:b w:val="false"/>
                <w:bCs w:val="false"/>
                <w:color w:val="000000"/>
                <w:sz w:val="18"/>
                <w:szCs w:val="18"/>
              </w:rPr>
              <w:t xml:space="preserve">FR-005 to FR-007, FR-020 to FR-027</w:t>
            </w:r>
          </w:p>
        </w:tc>
      </w:tr>
      <w:tr>
        <w:tc>
          <w:tcPr>
            <w:tcW w:type="dxa" w:w="2400"/>
            <w:tcMar>
              <w:top w:type="dxa" w:w="55"/>
              <w:left w:type="dxa" w:w="90"/>
              <w:bottom w:type="dxa" w:w="55"/>
              <w:right w:type="dxa" w:w="90"/>
            </w:tcMar>
          </w:tcPr>
          <w:p>
            <w:r>
              <w:rPr>
                <w:b w:val="false"/>
                <w:bCs w:val="false"/>
                <w:color w:val="000000"/>
                <w:sz w:val="18"/>
                <w:szCs w:val="18"/>
              </w:rPr>
              <w:t xml:space="preserve">8.3 Sequence, authentication</w:t>
            </w:r>
          </w:p>
        </w:tc>
        <w:tc>
          <w:tcPr>
            <w:tcW w:type="dxa" w:w="6626"/>
            <w:tcMar>
              <w:top w:type="dxa" w:w="55"/>
              <w:left w:type="dxa" w:w="90"/>
              <w:bottom w:type="dxa" w:w="55"/>
              <w:right w:type="dxa" w:w="90"/>
            </w:tcMar>
          </w:tcPr>
          <w:p>
            <w:r>
              <w:rPr>
                <w:b w:val="false"/>
                <w:bCs w:val="false"/>
                <w:color w:val="000000"/>
                <w:sz w:val="18"/>
                <w:szCs w:val="18"/>
              </w:rPr>
              <w:t xml:space="preserve">FR-002, FR-003, NFR-04, NFR-05</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8.4 Sequence, meal photograph</w:t>
            </w:r>
          </w:p>
        </w:tc>
        <w:tc>
          <w:tcPr>
            <w:tcW w:type="dxa" w:w="6626"/>
            <w:shd w:fill="F4FAFC" w:val="clear"/>
            <w:tcMar>
              <w:top w:type="dxa" w:w="55"/>
              <w:left w:type="dxa" w:w="90"/>
              <w:bottom w:type="dxa" w:w="55"/>
              <w:right w:type="dxa" w:w="90"/>
            </w:tcMar>
          </w:tcPr>
          <w:p>
            <w:r>
              <w:rPr>
                <w:b w:val="false"/>
                <w:bCs w:val="false"/>
                <w:color w:val="000000"/>
                <w:sz w:val="18"/>
                <w:szCs w:val="18"/>
              </w:rPr>
              <w:t xml:space="preserve">FR-012 to FR-014, brief requirement 3</w:t>
            </w:r>
          </w:p>
        </w:tc>
      </w:tr>
      <w:tr>
        <w:tc>
          <w:tcPr>
            <w:tcW w:type="dxa" w:w="2400"/>
            <w:tcMar>
              <w:top w:type="dxa" w:w="55"/>
              <w:left w:type="dxa" w:w="90"/>
              <w:bottom w:type="dxa" w:w="55"/>
              <w:right w:type="dxa" w:w="90"/>
            </w:tcMar>
          </w:tcPr>
          <w:p>
            <w:r>
              <w:rPr>
                <w:b w:val="false"/>
                <w:bCs w:val="false"/>
                <w:color w:val="000000"/>
                <w:sz w:val="18"/>
                <w:szCs w:val="18"/>
              </w:rPr>
              <w:t xml:space="preserve">8.5 Activity</w:t>
            </w:r>
          </w:p>
        </w:tc>
        <w:tc>
          <w:tcPr>
            <w:tcW w:type="dxa" w:w="6626"/>
            <w:tcMar>
              <w:top w:type="dxa" w:w="55"/>
              <w:left w:type="dxa" w:w="90"/>
              <w:bottom w:type="dxa" w:w="55"/>
              <w:right w:type="dxa" w:w="90"/>
            </w:tcMar>
          </w:tcPr>
          <w:p>
            <w:r>
              <w:rPr>
                <w:b w:val="false"/>
                <w:bCs w:val="false"/>
                <w:color w:val="000000"/>
                <w:sz w:val="18"/>
                <w:szCs w:val="18"/>
              </w:rPr>
              <w:t xml:space="preserve">FR-006, FR-007, FR-021</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8.6 State</w:t>
            </w:r>
          </w:p>
        </w:tc>
        <w:tc>
          <w:tcPr>
            <w:tcW w:type="dxa" w:w="6626"/>
            <w:shd w:fill="F4FAFC" w:val="clear"/>
            <w:tcMar>
              <w:top w:type="dxa" w:w="55"/>
              <w:left w:type="dxa" w:w="90"/>
              <w:bottom w:type="dxa" w:w="55"/>
              <w:right w:type="dxa" w:w="90"/>
            </w:tcMar>
          </w:tcPr>
          <w:p>
            <w:r>
              <w:rPr>
                <w:b w:val="false"/>
                <w:bCs w:val="false"/>
                <w:color w:val="000000"/>
                <w:sz w:val="18"/>
                <w:szCs w:val="18"/>
              </w:rPr>
              <w:t xml:space="preserve">FR-013, FR-024, NFR-03</w:t>
            </w:r>
          </w:p>
        </w:tc>
      </w:tr>
      <w:tr>
        <w:tc>
          <w:tcPr>
            <w:tcW w:type="dxa" w:w="2400"/>
            <w:tcMar>
              <w:top w:type="dxa" w:w="55"/>
              <w:left w:type="dxa" w:w="90"/>
              <w:bottom w:type="dxa" w:w="55"/>
              <w:right w:type="dxa" w:w="90"/>
            </w:tcMar>
          </w:tcPr>
          <w:p>
            <w:r>
              <w:rPr>
                <w:b w:val="false"/>
                <w:bCs w:val="false"/>
                <w:color w:val="000000"/>
                <w:sz w:val="18"/>
                <w:szCs w:val="18"/>
              </w:rPr>
              <w:t xml:space="preserve">8.7 Deployment</w:t>
            </w:r>
          </w:p>
        </w:tc>
        <w:tc>
          <w:tcPr>
            <w:tcW w:type="dxa" w:w="6626"/>
            <w:tcMar>
              <w:top w:type="dxa" w:w="55"/>
              <w:left w:type="dxa" w:w="90"/>
              <w:bottom w:type="dxa" w:w="55"/>
              <w:right w:type="dxa" w:w="90"/>
            </w:tcMar>
          </w:tcPr>
          <w:p>
            <w:r>
              <w:rPr>
                <w:b w:val="false"/>
                <w:bCs w:val="false"/>
                <w:color w:val="000000"/>
                <w:sz w:val="18"/>
                <w:szCs w:val="18"/>
              </w:rPr>
              <w:t xml:space="preserve">NFR-01, NFR-03, NFR-04</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5"/>
        <w:szCs w:val="15"/>
      </w:rPr>
      <w:t xml:space="preserve">AquaZeroFit  |  AquaZero  |  NIT3003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32369395cfd7c02229296103a36accede67334.png"/><Relationship Id="rId10" Type="http://schemas.openxmlformats.org/officeDocument/2006/relationships/image" Target="media/e8b6aa9e54a4aa53b357eb459c08d733dd3569bc.png"/><Relationship Id="rId11" Type="http://schemas.openxmlformats.org/officeDocument/2006/relationships/image" Target="media/66dd0ed4478e7c0da44322428693664830eb28e0.png"/><Relationship Id="rId12" Type="http://schemas.openxmlformats.org/officeDocument/2006/relationships/image" Target="media/78d60dd3bd7541a64f7521d994e49e950f17f18c.png"/><Relationship Id="rId13" Type="http://schemas.openxmlformats.org/officeDocument/2006/relationships/image" Target="media/22b352e0064bf2c86c12e329bb6025d7660804f9.png"/><Relationship Id="rId14" Type="http://schemas.openxmlformats.org/officeDocument/2006/relationships/image" Target="media/9d7980b2676c5ac1f1716bf4f2885c35c2688678.png"/><Relationship Id="rId15" Type="http://schemas.openxmlformats.org/officeDocument/2006/relationships/image" Target="media/498a1b237ddfe1ebc85ce21c9ce37ad28be941fa.png"/><Relationship Id="rId16" Type="http://schemas.openxmlformats.org/officeDocument/2006/relationships/image" Target="media/c8580b792b5481d6a53e965e0d3d68a1a9a0bad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2026-07-29T03:18:26.673Z</dcterms:created>
  <dcterms:modified xsi:type="dcterms:W3CDTF">2026-07-29T03:18:26.673Z</dcterms:modified>
</cp:coreProperties>
</file>

<file path=docProps/custom.xml><?xml version="1.0" encoding="utf-8"?>
<Properties xmlns="http://schemas.openxmlformats.org/officeDocument/2006/custom-properties" xmlns:vt="http://schemas.openxmlformats.org/officeDocument/2006/docPropsVTypes"/>
</file>