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drawing>
          <wp:inline distT="0" distB="0" distL="0" distR="0">
            <wp:extent cx="31432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21C0DA"/>
          <w:sz w:val="20"/>
          <w:szCs w:val="20"/>
        </w:rPr>
        <w:t xml:space="preserve">AQF-09</w:t>
      </w:r>
    </w:p>
    <w:p>
      <w:pPr>
        <w:spacing w:after="120"/>
        <w:jc w:val="center"/>
      </w:pPr>
      <w:r>
        <w:rPr>
          <w:b/>
          <w:bCs/>
          <w:color w:val="0B2233"/>
          <w:sz w:val="40"/>
          <w:szCs w:val="40"/>
        </w:rPr>
        <w:t xml:space="preserve">Low-Level Design</w:t>
      </w:r>
    </w:p>
    <w:p>
      <w:pPr>
        <w:spacing w:after="400"/>
        <w:jc w:val="center"/>
      </w:pPr>
      <w:r>
        <w:rPr>
          <w:color w:val="5A6672"/>
          <w:sz w:val="22"/>
          <w:szCs w:val="22"/>
        </w:rPr>
        <w:t xml:space="preserve">Module map, normative algorithms, component contracts and engineering standards</w:t>
      </w:r>
    </w:p>
    <w:p>
      <w:pPr>
        <w:jc w:val="center"/>
      </w:pPr>
      <w:r>
        <w:rPr>
          <w:b/>
          <w:bCs/>
          <w:color w:val="0A8CAB"/>
          <w:sz w:val="20"/>
          <w:szCs w:val="20"/>
        </w:rPr>
        <w:t xml:space="preserve">AquaZeroFit, an AquaZero product</w:t>
      </w:r>
    </w:p>
    <w:p>
      <w:pPr>
        <w:spacing w:after="60"/>
        <w:jc w:val="center"/>
      </w:pPr>
      <w:r>
        <w:rPr>
          <w:color w:val="5A6672"/>
          <w:sz w:val="19"/>
          <w:szCs w:val="19"/>
        </w:rPr>
        <w:t xml:space="preserve">NIT3003 IT Capstone Project, Project 5</w:t>
      </w:r>
    </w:p>
    <w:p>
      <w:pPr>
        <w:jc w:val="center"/>
      </w:pPr>
      <w:r>
        <w:rPr>
          <w:color w:val="5A6672"/>
          <w:sz w:val="19"/>
          <w:szCs w:val="19"/>
        </w:rPr>
        <w:t xml:space="preserve">Group 15, Victoria University, Melbourne, Australia</w:t>
      </w:r>
    </w:p>
    <w:p>
      <w:pPr>
        <w:spacing w:before="240"/>
        <w:jc w:val="center"/>
      </w:pPr>
      <w:r>
        <w:rPr>
          <w:color w:val="5A6672"/>
          <w:sz w:val="18"/>
          <w:szCs w:val="18"/>
        </w:rPr>
        <w:t xml:space="preserve">Version 2.0, July 2026</w:t>
      </w:r>
    </w:p>
    <w:p>
      <w:r>
        <w:br w:type="page"/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AQF-09 Low-Level Design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 (AquaZeroFit rebrand, diagrams added)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Give developers everything needed to write the code without re-deriving decisions: exact algorithms, interfaces, error handling and standards.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 Williams-Fulwood, Technical Lead and Software Architect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Contributors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Eric La (Frontend), Victor Hong (Data and Quality)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[To be completed by the team]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supervisor review</w:t>
            </w:r>
          </w:p>
        </w:tc>
      </w:tr>
      <w:tr>
        <w:tc>
          <w:tcPr>
            <w:tcW w:type="dxa" w:w="21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6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 initial draft as VitalAI. v2.0 rebranded to AquaZeroFit, diagrams added, roles assigned, sequencing applied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1. Backend Module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400"/>
        <w:gridCol w:w="1826"/>
      </w:tblGrid>
      <w:tr>
        <w:trPr>
          <w:tblHeader/>
        </w:trPr>
        <w:tc>
          <w:tcPr>
            <w:tcW w:type="dxa" w:w="12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units</w:t>
            </w:r>
          </w:p>
        </w:tc>
        <w:tc>
          <w:tcPr>
            <w:tcW w:type="dxa" w:w="34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8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AuthController, TelegramAuthValidator, TokenService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Registration, login, launch data validation, token issue and rotation</w:t>
            </w:r>
          </w:p>
        </w:tc>
        <w:tc>
          <w:tcPr>
            <w:tcW w:type="dxa" w:w="1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ProfileService, TargetCalculator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CRUD and derived targets with safety bounds</w:t>
            </w:r>
          </w:p>
        </w:tc>
        <w:tc>
          <w:tcPr>
            <w:tcW w:type="dxa" w:w="18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food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FoodSearchService, MealLogService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Search, meal CRUD, daily aggregation</w:t>
            </w:r>
          </w:p>
        </w:tc>
        <w:tc>
          <w:tcPr>
            <w:tcW w:type="dxa" w:w="1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vision</w:t>
            </w:r>
          </w:p>
        </w:tc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PhotoIntakeFunction, VisionJobFunction, PredictionMapper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Upload, queued inference, mapping, confirmation</w:t>
            </w:r>
          </w:p>
        </w:tc>
        <w:tc>
          <w:tcPr>
            <w:tcW w:type="dxa" w:w="18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AIGateway, TierPolicy, CreditLedger, Guardrails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model access, routing policy, metering and safety</w:t>
            </w:r>
          </w:p>
        </w:tc>
        <w:tc>
          <w:tcPr>
            <w:tcW w:type="dxa" w:w="1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PlanGenerator, WorkoutScheduler, SessionLogger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generation, daily selection, overload, session logs</w:t>
            </w:r>
          </w:p>
        </w:tc>
        <w:tc>
          <w:tcPr>
            <w:tcW w:type="dxa" w:w="18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ProgressService, AchievementEngine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 series, streaks, award evaluation</w:t>
            </w:r>
          </w:p>
        </w:tc>
        <w:tc>
          <w:tcPr>
            <w:tcW w:type="dxa" w:w="1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</w:t>
            </w:r>
          </w:p>
        </w:tc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ChatService, ToolExecutor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Sessions, streaming, tool calls into internal services</w:t>
            </w:r>
          </w:p>
        </w:tc>
        <w:tc>
          <w:tcPr>
            <w:tcW w:type="dxa" w:w="18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Seeders, Migrations, FoodDataClient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Corpus ingestion, schema migration, external data access</w:t>
            </w:r>
          </w:p>
        </w:tc>
        <w:tc>
          <w:tcPr>
            <w:tcW w:type="dxa" w:w="1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Victor</w:t>
            </w:r>
          </w:p>
        </w:tc>
      </w:tr>
      <w:tr>
        <w:tc>
          <w:tcPr>
            <w:tcW w:type="dxa" w:w="12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RateLimiter, ErrorMapper, Telemetry, SecretsClient</w:t>
            </w:r>
          </w:p>
        </w:tc>
        <w:tc>
          <w:tcPr>
            <w:tcW w:type="dxa" w:w="34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Cross-cutting middleware and infrastructure access</w:t>
            </w:r>
          </w:p>
        </w:tc>
        <w:tc>
          <w:tcPr>
            <w:tcW w:type="dxa" w:w="18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Babatundji</w:t>
            </w:r>
          </w:p>
        </w:tc>
      </w:tr>
    </w:tbl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2. Normative Algorithms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2.1 TelegramAuthValidator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Specification of the validation performed. The implementation calls the maintained library (ADR-017) wrapped in our validator so our error codes are preserved; this pseudocode remains the basis of our own test vectors.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params        = parse launch data as URL query pairs; extract and remove 'hash'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dataCheckStr  = join sorted 'key=value' pairs with newline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secretKey     = HMAC_SHA256(key = 'WebAppData', message = BOT_TOKEN)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calculated    = hex(HMAC_SHA256(key = secretKey, message = dataCheckStr))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require timingSafeEqual(calculated, hash)      else AUTH_TG_INVALID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require now - auth_date &lt;= 600 seconds          else AUTH_TG_STALE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return parsed user identity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Mandatory test vectors: a known-good payload, a payload with one tampered field, and a payload with a stale timestamp.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2.2 TargetCalculator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BMR (Mifflin-St Jeor):  male 10w + 6.25h - 5a + 5   |   female 10w + 6.25h - 5a - 161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TDEE = BMR * factor { sedentary 1.2, light 1.375, moderate 1.55, active 1.725, very 1.9 }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deficit: target loss &lt;= 0.5 to 1.0 percent of bodyweight per week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kcalTarget = TDEE - deficit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clamp: kcalTarget &gt;= floor (configured, default 1200 female / 1500 male)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if clamped -&gt; set clamped=true, clampReason, and surface advisory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protein g = 1.6 to 2.2 per kg by goal ; fat &gt;= 20 percent of kcal ; carbs = remainder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2.3 AIGateway.complete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TierPolicy.assert(user, task)                      // free lane confinement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CreditLedger.reserve(user, cost(task))             // 402 if insufficient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input = Guardrails.pre(payload)                    // 422 SAFETY_INPUT on block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resp  = POST {GATEWAY}/v1/chat/completions {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  model: MODEL_GROUP[task],                 // logical group, not a provider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  messages: input, response_format: schemaFor(task) }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with header Authorization: Bearer virtualKeyFor(user.tier)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out   = Guardrails.post(resp); NumericRules.check(out)   // kcal floor, macro sanity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CreditLedger.commit(); Telemetry.log(provider, tokens, latency, promptVersion)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Application code knows only logical model group names such as visionPrimary, chatFast and planStructured. Real provider models, fallback chains, retries and budgets live in gateway configuration.</w:t>
      </w:r>
    </w:p>
    <w:p>
      <w:pPr>
        <w:pStyle w:val="Heading2"/>
        <w:spacing w:after="100" w:before="220"/>
      </w:pPr>
      <w:r>
        <w:rPr>
          <w:b/>
          <w:bCs/>
          <w:color w:val="0A8CAB"/>
          <w:sz w:val="25"/>
          <w:szCs w:val="25"/>
        </w:rPr>
        <w:t xml:space="preserve">2.4 WorkoutScheduler.selectDaily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pool  = exercises where equipment subset of user.equipment and difficulty &lt;= user.level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score = muscle-group recency (&gt;= 48h rest per group) + plan template slot + user feedback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overload: if last two sessions completed at target -&gt; increase reps, then load, then volume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enforce: rest days; no consecutive high-intensity days for a beginner profile</w:t>
      </w:r>
    </w:p>
    <w:p>
      <w:pPr>
        <w:shd w:fill="F2F6F8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output: session with sets, reps, rest, primary muscle and at least one media asset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3. Meal Photograph Pipeline</w:t>
      </w:r>
    </w:p>
    <w:p>
      <w:pPr>
        <w:spacing w:after="40" w:before="140"/>
        <w:jc w:val="center"/>
      </w:pPr>
      <w:r>
        <w:drawing>
          <wp:inline distT="0" distB="0" distL="0" distR="0">
            <wp:extent cx="447675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672"/>
          <w:sz w:val="17"/>
          <w:szCs w:val="17"/>
        </w:rPr>
        <w:t xml:space="preserve">Figure 9.1: Five-step pipeline showing which steps are model calls and which are deterministic code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Steps two, three and four contain no model calls. Calories are looked up and multiplied, not estimated. Allergen filtering is deterministic because a false negative there is a safety failure, not a quality issue.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4. Frontend Component Contracts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926"/>
      </w:tblGrid>
      <w:tr>
        <w:trPr>
          <w:tblHeader/>
        </w:trPr>
        <w:tc>
          <w:tcPr>
            <w:tcW w:type="dxa" w:w="15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9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States and rules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RingProgress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value, target, size, tone</w:t>
            </w:r>
          </w:p>
        </w:tc>
        <w:tc>
          <w:tcPr>
            <w:tcW w:type="dxa" w:w="4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Aqua for positive progress, deep navy for baseline, coral for alert; animates on mount; accessible label states value of target</w:t>
            </w:r>
          </w:p>
        </w:tc>
      </w:tr>
      <w:tr>
        <w:tc>
          <w:tcPr>
            <w:tcW w:type="dxa" w:w="1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MetricCard</w:t>
            </w:r>
          </w:p>
        </w:tc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label, value, unit, delta, tone</w:t>
            </w:r>
          </w:p>
        </w:tc>
        <w:tc>
          <w:tcPr>
            <w:tcW w:type="dxa" w:w="4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Skeleton, empty and error variants are mandatory, not optional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MealCard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meal, onAdd, onEdit</w:t>
            </w:r>
          </w:p>
        </w:tc>
        <w:tc>
          <w:tcPr>
            <w:tcW w:type="dxa" w:w="4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Shows calories and macro line; optimistic add with rollback toast on failure</w:t>
            </w:r>
          </w:p>
        </w:tc>
      </w:tr>
      <w:tr>
        <w:tc>
          <w:tcPr>
            <w:tcW w:type="dxa" w:w="1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ScanReview</w:t>
            </w:r>
          </w:p>
        </w:tc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predictions, onConfirm, onCorrect</w:t>
            </w:r>
          </w:p>
        </w:tc>
        <w:tc>
          <w:tcPr>
            <w:tcW w:type="dxa" w:w="4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field editable, confidence visible, confirm disabled while saving, never auto-commits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ExerciseCard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exercise, media, onOpen</w:t>
            </w:r>
          </w:p>
        </w:tc>
        <w:tc>
          <w:tcPr>
            <w:tcW w:type="dxa" w:w="4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Lazy-loads media; rest and primary muscle chips</w:t>
            </w:r>
          </w:p>
        </w:tc>
      </w:tr>
      <w:tr>
        <w:tc>
          <w:tcPr>
            <w:tcW w:type="dxa" w:w="15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ChatStream</w:t>
            </w:r>
          </w:p>
        </w:tc>
        <w:tc>
          <w:tcPr>
            <w:tcW w:type="dxa" w:w="26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messages, onSend, streaming</w:t>
            </w:r>
          </w:p>
        </w:tc>
        <w:tc>
          <w:tcPr>
            <w:tcW w:type="dxa" w:w="49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Appends streamed tokens, polite live region, persistent disclaimer slot, report control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Server state is cached with explicit invalidation: committing a log invalidates the daily analytics and dashboard ring queries.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The AquaZero design tokens are the default theme. Inside Telegram the client theme variables are bound and preferred for surfaces so the application matches the user's client.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Assistant output is markdown and is sanitised before rendering. Model output is untrusted input to the document.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5. Error Handling and Resilience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Per-provider timeout with retry and backoff, plus circuit breaking, handled at the gateway.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User-facing degradation matrix: if all AI lanes fail, manual logging, dashboards and existing plans remain fully functional.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Idempotency keys on log creation so a retry never duplicates a meal.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Poisoned queue messages move to a dead-letter path after five dequeues and raise an alert.</w:t>
      </w:r>
    </w:p>
    <w:p>
      <w:pPr>
        <w:pStyle w:val="Heading1"/>
        <w:pBdr>
          <w:bottom w:val="single" w:color="21C0DA" w:sz="6"/>
        </w:pBdr>
        <w:spacing w:after="140" w:before="300"/>
      </w:pPr>
      <w:r>
        <w:rPr>
          <w:b/>
          <w:bCs/>
          <w:color w:val="0B2233"/>
          <w:sz w:val="30"/>
          <w:szCs w:val="30"/>
        </w:rPr>
        <w:t xml:space="preserve">6. Engineering Standards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7026"/>
            <w:shd w:fill="0B223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boundary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provider SDK import outside the ai module; enforced by lint rule and pipeline check</w:t>
            </w:r>
          </w:p>
        </w:tc>
      </w:tr>
      <w:tr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7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 percent on services; 100 percent branch coverage on validator, target calculator, guardrails and ledger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Explain why, not what. Safety floors, signature ordering and partition choices carry a comment linking to the relevant ADR</w:t>
            </w:r>
          </w:p>
        </w:tc>
      </w:tr>
      <w:tr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</w:t>
            </w:r>
          </w:p>
        </w:tc>
        <w:tc>
          <w:tcPr>
            <w:tcW w:type="dxa" w:w="7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 states approach, impact, testing performed and edge cases; screenshots for interface work; at least one reviewer outside the author's lane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Banned files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proxy configuration file anywhere in the tree (ADR-018), enforced in the pipeline</w:t>
            </w:r>
          </w:p>
        </w:tc>
      </w:tr>
      <w:tr>
        <w:tc>
          <w:tcPr>
            <w:tcW w:type="dxa" w:w="2000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</w:t>
            </w:r>
          </w:p>
        </w:tc>
        <w:tc>
          <w:tcPr>
            <w:tcW w:type="dxa" w:w="7026"/>
            <w:shd w:fill="F4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secret in source, log or client bundle; automated scan on every pull request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2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672"/>
        <w:sz w:val="15"/>
        <w:szCs w:val="15"/>
      </w:rPr>
      <w:t xml:space="preserve">AquaZeroFit  |  AquaZero  |  NIT3003 Group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32369395cfd7c02229296103a36accede67334.png"/><Relationship Id="rId10" Type="http://schemas.openxmlformats.org/officeDocument/2006/relationships/image" Target="media/138d4fe1f3afe66c098606b07fb5670ae0e4174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2026-07-29T03:18:26.893Z</dcterms:created>
  <dcterms:modified xsi:type="dcterms:W3CDTF">2026-07-29T03:18:26.893Z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