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90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57425"/>
                    </a:xfrm>
                    <a:prstGeom prst="rect">
                      <a:avLst/>
                    </a:prstGeom>
                  </pic:spPr>
                </pic:pic>
              </a:graphicData>
            </a:graphic>
          </wp:inline>
        </w:drawing>
      </w:r>
    </w:p>
    <w:p>
      <w:pPr>
        <w:spacing w:after="80"/>
        <w:jc w:val="center"/>
      </w:pPr>
      <w:r>
        <w:rPr>
          <w:b/>
          <w:bCs/>
          <w:color w:val="21C0DA"/>
          <w:sz w:val="20"/>
          <w:szCs w:val="20"/>
        </w:rPr>
        <w:t xml:space="preserve">AQF-11</w:t>
      </w:r>
    </w:p>
    <w:p>
      <w:pPr>
        <w:spacing w:after="120"/>
        <w:jc w:val="center"/>
      </w:pPr>
      <w:r>
        <w:rPr>
          <w:b/>
          <w:bCs/>
          <w:color w:val="0B2233"/>
          <w:sz w:val="40"/>
          <w:szCs w:val="40"/>
        </w:rPr>
        <w:t xml:space="preserve">Safety, Privacy and Ethical Design</w:t>
      </w:r>
    </w:p>
    <w:p>
      <w:pPr>
        <w:spacing w:after="400"/>
        <w:jc w:val="center"/>
      </w:pPr>
      <w:r>
        <w:rPr>
          <w:color w:val="5A6672"/>
          <w:sz w:val="22"/>
          <w:szCs w:val="22"/>
        </w:rPr>
        <w:t xml:space="preserve">Boundaries, guardrails, data protection and ethical commitments</w:t>
      </w:r>
    </w:p>
    <w:p>
      <w:pPr>
        <w:jc w:val="center"/>
      </w:pPr>
      <w:r>
        <w:rPr>
          <w:b/>
          <w:bCs/>
          <w:color w:val="0A8CAB"/>
          <w:sz w:val="20"/>
          <w:szCs w:val="20"/>
        </w:rPr>
        <w:t xml:space="preserve">AquaZeroFit, an AquaZero product</w:t>
      </w:r>
    </w:p>
    <w:p>
      <w:pPr>
        <w:spacing w:after="60"/>
        <w:jc w:val="center"/>
      </w:pPr>
      <w:r>
        <w:rPr>
          <w:color w:val="5A6672"/>
          <w:sz w:val="19"/>
          <w:szCs w:val="19"/>
        </w:rPr>
        <w:t xml:space="preserve">NIT3003 IT Capstone Project, Project 5</w:t>
      </w:r>
    </w:p>
    <w:p>
      <w:pPr>
        <w:jc w:val="center"/>
      </w:pPr>
      <w:r>
        <w:rPr>
          <w:color w:val="5A6672"/>
          <w:sz w:val="19"/>
          <w:szCs w:val="19"/>
        </w:rPr>
        <w:t xml:space="preserve">Group 15, Victoria University, Melbourne, Australia</w:t>
      </w:r>
    </w:p>
    <w:p>
      <w:pPr>
        <w:spacing w:before="240"/>
        <w:jc w:val="center"/>
      </w:pPr>
      <w:r>
        <w:rPr>
          <w:color w:val="5A6672"/>
          <w:sz w:val="18"/>
          <w:szCs w:val="18"/>
        </w:rPr>
        <w:t xml:space="preserve">Version 2.0, July 2026</w:t>
      </w:r>
    </w:p>
    <w:p>
      <w:r>
        <w:br w:type="page"/>
      </w:r>
    </w:p>
    <w:p>
      <w:pPr>
        <w:pStyle w:val="Heading1"/>
        <w:pBdr>
          <w:bottom w:val="single" w:color="21C0DA" w:sz="6"/>
        </w:pBdr>
        <w:spacing w:after="140" w:before="300"/>
      </w:pPr>
      <w:r>
        <w:rPr>
          <w:b/>
          <w:bCs/>
          <w:color w:val="0B2233"/>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shd w:fill="0B2233" w:val="clear"/>
            <w:tcMar>
              <w:top w:type="dxa" w:w="55"/>
              <w:left w:type="dxa" w:w="90"/>
              <w:bottom w:type="dxa" w:w="55"/>
              <w:right w:type="dxa" w:w="90"/>
            </w:tcMar>
          </w:tcPr>
          <w:p>
            <w:r>
              <w:rPr>
                <w:b/>
                <w:bCs/>
                <w:color w:val="FFFFFF"/>
                <w:sz w:val="18"/>
                <w:szCs w:val="18"/>
              </w:rPr>
              <w:t xml:space="preserve">Field</w:t>
            </w:r>
          </w:p>
        </w:tc>
        <w:tc>
          <w:tcPr>
            <w:tcW w:type="dxa" w:w="6926"/>
            <w:shd w:fill="0B2233" w:val="clear"/>
            <w:tcMar>
              <w:top w:type="dxa" w:w="55"/>
              <w:left w:type="dxa" w:w="90"/>
              <w:bottom w:type="dxa" w:w="55"/>
              <w:right w:type="dxa" w:w="90"/>
            </w:tcMar>
          </w:tcPr>
          <w:p>
            <w:r>
              <w:rPr>
                <w:b/>
                <w:bCs/>
                <w:color w:val="FFFFFF"/>
                <w:sz w:val="18"/>
                <w:szCs w:val="18"/>
              </w:rPr>
              <w:t xml:space="preserve">Detail</w:t>
            </w:r>
          </w:p>
        </w:tc>
      </w:tr>
      <w:tr>
        <w:tc>
          <w:tcPr>
            <w:tcW w:type="dxa" w:w="2100"/>
            <w:tcMar>
              <w:top w:type="dxa" w:w="55"/>
              <w:left w:type="dxa" w:w="90"/>
              <w:bottom w:type="dxa" w:w="55"/>
              <w:right w:type="dxa" w:w="90"/>
            </w:tcMar>
          </w:tcPr>
          <w:p>
            <w:r>
              <w:rPr>
                <w:b w:val="false"/>
                <w:bCs w:val="false"/>
                <w:color w:val="000000"/>
                <w:sz w:val="18"/>
                <w:szCs w:val="18"/>
              </w:rPr>
              <w:t xml:space="preserve">Document</w:t>
            </w:r>
          </w:p>
        </w:tc>
        <w:tc>
          <w:tcPr>
            <w:tcW w:type="dxa" w:w="6926"/>
            <w:tcMar>
              <w:top w:type="dxa" w:w="55"/>
              <w:left w:type="dxa" w:w="90"/>
              <w:bottom w:type="dxa" w:w="55"/>
              <w:right w:type="dxa" w:w="90"/>
            </w:tcMar>
          </w:tcPr>
          <w:p>
            <w:r>
              <w:rPr>
                <w:b w:val="false"/>
                <w:bCs w:val="false"/>
                <w:color w:val="000000"/>
                <w:sz w:val="18"/>
                <w:szCs w:val="18"/>
              </w:rPr>
              <w:t xml:space="preserve">AQF-11 Safety, Privacy and Ethical Design</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Version</w:t>
            </w:r>
          </w:p>
        </w:tc>
        <w:tc>
          <w:tcPr>
            <w:tcW w:type="dxa" w:w="6926"/>
            <w:shd w:fill="F4FAFC" w:val="clear"/>
            <w:tcMar>
              <w:top w:type="dxa" w:w="55"/>
              <w:left w:type="dxa" w:w="90"/>
              <w:bottom w:type="dxa" w:w="55"/>
              <w:right w:type="dxa" w:w="90"/>
            </w:tcMar>
          </w:tcPr>
          <w:p>
            <w:r>
              <w:rPr>
                <w:b w:val="false"/>
                <w:bCs w:val="false"/>
                <w:color w:val="000000"/>
                <w:sz w:val="18"/>
                <w:szCs w:val="18"/>
              </w:rPr>
              <w:t xml:space="preserve">2.0 (AquaZeroFit rebrand, diagrams added)</w:t>
            </w:r>
          </w:p>
        </w:tc>
      </w:tr>
      <w:tr>
        <w:tc>
          <w:tcPr>
            <w:tcW w:type="dxa" w:w="2100"/>
            <w:tcMar>
              <w:top w:type="dxa" w:w="55"/>
              <w:left w:type="dxa" w:w="90"/>
              <w:bottom w:type="dxa" w:w="55"/>
              <w:right w:type="dxa" w:w="90"/>
            </w:tcMar>
          </w:tcPr>
          <w:p>
            <w:r>
              <w:rPr>
                <w:b w:val="false"/>
                <w:bCs w:val="false"/>
                <w:color w:val="000000"/>
                <w:sz w:val="18"/>
                <w:szCs w:val="18"/>
              </w:rPr>
              <w:t xml:space="preserve">Purpose</w:t>
            </w:r>
          </w:p>
        </w:tc>
        <w:tc>
          <w:tcPr>
            <w:tcW w:type="dxa" w:w="6926"/>
            <w:tcMar>
              <w:top w:type="dxa" w:w="55"/>
              <w:left w:type="dxa" w:w="90"/>
              <w:bottom w:type="dxa" w:w="55"/>
              <w:right w:type="dxa" w:w="90"/>
            </w:tcMar>
          </w:tcPr>
          <w:p>
            <w:r>
              <w:rPr>
                <w:b w:val="false"/>
                <w:bCs w:val="false"/>
                <w:color w:val="000000"/>
                <w:sz w:val="18"/>
                <w:szCs w:val="18"/>
              </w:rPr>
              <w:t xml:space="preserve">Satisfy brief requirement ten as a first-class engineering concern. This document defines what the product will not do and how that is enforced in code.</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Document owner</w:t>
            </w:r>
          </w:p>
        </w:tc>
        <w:tc>
          <w:tcPr>
            <w:tcW w:type="dxa" w:w="6926"/>
            <w:shd w:fill="F4FAFC" w:val="clear"/>
            <w:tcMar>
              <w:top w:type="dxa" w:w="55"/>
              <w:left w:type="dxa" w:w="90"/>
              <w:bottom w:type="dxa" w:w="55"/>
              <w:right w:type="dxa" w:w="90"/>
            </w:tcMar>
          </w:tcPr>
          <w:p>
            <w:r>
              <w:rPr>
                <w:b w:val="false"/>
                <w:bCs w:val="false"/>
                <w:color w:val="000000"/>
                <w:sz w:val="18"/>
                <w:szCs w:val="18"/>
              </w:rPr>
              <w:t xml:space="preserve">Babatundji Williams-Fulwood, Technical Lead and Software Architect</w:t>
            </w:r>
          </w:p>
        </w:tc>
      </w:tr>
      <w:tr>
        <w:tc>
          <w:tcPr>
            <w:tcW w:type="dxa" w:w="2100"/>
            <w:tcMar>
              <w:top w:type="dxa" w:w="55"/>
              <w:left w:type="dxa" w:w="90"/>
              <w:bottom w:type="dxa" w:w="55"/>
              <w:right w:type="dxa" w:w="90"/>
            </w:tcMar>
          </w:tcPr>
          <w:p>
            <w:r>
              <w:rPr>
                <w:b w:val="false"/>
                <w:bCs w:val="false"/>
                <w:color w:val="000000"/>
                <w:sz w:val="18"/>
                <w:szCs w:val="18"/>
              </w:rPr>
              <w:t xml:space="preserve">Contributors</w:t>
            </w:r>
          </w:p>
        </w:tc>
        <w:tc>
          <w:tcPr>
            <w:tcW w:type="dxa" w:w="6926"/>
            <w:tcMar>
              <w:top w:type="dxa" w:w="55"/>
              <w:left w:type="dxa" w:w="90"/>
              <w:bottom w:type="dxa" w:w="55"/>
              <w:right w:type="dxa" w:w="90"/>
            </w:tcMar>
          </w:tcPr>
          <w:p>
            <w:r>
              <w:rPr>
                <w:b w:val="false"/>
                <w:bCs w:val="false"/>
                <w:color w:val="000000"/>
                <w:sz w:val="18"/>
                <w:szCs w:val="18"/>
              </w:rPr>
              <w:t xml:space="preserve">Eric La (Frontend), Victor Hong (Data and Quality)</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Supervisor</w:t>
            </w:r>
          </w:p>
        </w:tc>
        <w:tc>
          <w:tcPr>
            <w:tcW w:type="dxa" w:w="6926"/>
            <w:shd w:fill="F4FAFC" w:val="clear"/>
            <w:tcMar>
              <w:top w:type="dxa" w:w="55"/>
              <w:left w:type="dxa" w:w="90"/>
              <w:bottom w:type="dxa" w:w="55"/>
              <w:right w:type="dxa" w:w="90"/>
            </w:tcMar>
          </w:tcPr>
          <w:p>
            <w:r>
              <w:rPr>
                <w:b w:val="false"/>
                <w:bCs w:val="false"/>
                <w:color w:val="000000"/>
                <w:sz w:val="18"/>
                <w:szCs w:val="18"/>
              </w:rPr>
              <w:t xml:space="preserve">[To be completed by the team]</w:t>
            </w:r>
          </w:p>
        </w:tc>
      </w:tr>
      <w:tr>
        <w:tc>
          <w:tcPr>
            <w:tcW w:type="dxa" w:w="2100"/>
            <w:tcMar>
              <w:top w:type="dxa" w:w="55"/>
              <w:left w:type="dxa" w:w="90"/>
              <w:bottom w:type="dxa" w:w="55"/>
              <w:right w:type="dxa" w:w="90"/>
            </w:tcMar>
          </w:tcPr>
          <w:p>
            <w:r>
              <w:rPr>
                <w:b w:val="false"/>
                <w:bCs w:val="false"/>
                <w:color w:val="000000"/>
                <w:sz w:val="18"/>
                <w:szCs w:val="18"/>
              </w:rPr>
              <w:t xml:space="preserve">Status</w:t>
            </w:r>
          </w:p>
        </w:tc>
        <w:tc>
          <w:tcPr>
            <w:tcW w:type="dxa" w:w="6926"/>
            <w:tcMar>
              <w:top w:type="dxa" w:w="55"/>
              <w:left w:type="dxa" w:w="90"/>
              <w:bottom w:type="dxa" w:w="55"/>
              <w:right w:type="dxa" w:w="90"/>
            </w:tcMar>
          </w:tcPr>
          <w:p>
            <w:r>
              <w:rPr>
                <w:b w:val="false"/>
                <w:bCs w:val="false"/>
                <w:color w:val="000000"/>
                <w:sz w:val="18"/>
                <w:szCs w:val="18"/>
              </w:rPr>
              <w:t xml:space="preserve">Draft for supervisor review</w:t>
            </w:r>
          </w:p>
        </w:tc>
      </w:tr>
      <w:tr>
        <w:tc>
          <w:tcPr>
            <w:tcW w:type="dxa" w:w="2100"/>
            <w:shd w:fill="F4FAFC" w:val="clear"/>
            <w:tcMar>
              <w:top w:type="dxa" w:w="55"/>
              <w:left w:type="dxa" w:w="90"/>
              <w:bottom w:type="dxa" w:w="55"/>
              <w:right w:type="dxa" w:w="90"/>
            </w:tcMar>
          </w:tcPr>
          <w:p>
            <w:r>
              <w:rPr>
                <w:b w:val="false"/>
                <w:bCs w:val="false"/>
                <w:color w:val="000000"/>
                <w:sz w:val="18"/>
                <w:szCs w:val="18"/>
              </w:rPr>
              <w:t xml:space="preserve">Change history</w:t>
            </w:r>
          </w:p>
        </w:tc>
        <w:tc>
          <w:tcPr>
            <w:tcW w:type="dxa" w:w="6926"/>
            <w:shd w:fill="F4FAFC" w:val="clear"/>
            <w:tcMar>
              <w:top w:type="dxa" w:w="55"/>
              <w:left w:type="dxa" w:w="90"/>
              <w:bottom w:type="dxa" w:w="55"/>
              <w:right w:type="dxa" w:w="90"/>
            </w:tcMar>
          </w:tcPr>
          <w:p>
            <w:r>
              <w:rPr>
                <w:b w:val="false"/>
                <w:bCs w:val="false"/>
                <w:color w:val="000000"/>
                <w:sz w:val="18"/>
                <w:szCs w:val="18"/>
              </w:rPr>
              <w:t xml:space="preserve">v1.0 initial draft as VitalAI. v2.0 rebranded to AquaZeroFit, diagrams added, roles assigned, sequencing applied</w:t>
            </w:r>
          </w:p>
        </w:tc>
      </w:tr>
    </w:tbl>
    <w:p>
      <w:pPr>
        <w:pStyle w:val="Heading1"/>
        <w:pBdr>
          <w:bottom w:val="single" w:color="21C0DA" w:sz="6"/>
        </w:pBdr>
        <w:spacing w:after="140" w:before="300"/>
      </w:pPr>
      <w:r>
        <w:rPr>
          <w:b/>
          <w:bCs/>
          <w:color w:val="0B2233"/>
          <w:sz w:val="30"/>
          <w:szCs w:val="30"/>
        </w:rPr>
        <w:t xml:space="preserve">1. Scope Boundary</w:t>
      </w:r>
    </w:p>
    <w:p>
      <w:pPr>
        <w:spacing w:after="110"/>
      </w:pPr>
      <w:r>
        <w:rPr>
          <w:b/>
          <w:bCs/>
          <w:i w:val="false"/>
          <w:iCs w:val="false"/>
          <w:color w:val="000000"/>
          <w:sz w:val="21"/>
          <w:szCs w:val="21"/>
        </w:rPr>
        <w:t xml:space="preserve">AquaZeroFit provides general wellness and fitness support only. It does not provide medical diagnosis, treatment, medication guidance, mental health therapy or eating disorder treatment, and it does not integrate with clinical systems. This is a product boundary enforced in code, not a disclaimer added at the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B2233" w:val="clear"/>
            <w:tcMar>
              <w:top w:type="dxa" w:w="55"/>
              <w:left w:type="dxa" w:w="90"/>
              <w:bottom w:type="dxa" w:w="55"/>
              <w:right w:type="dxa" w:w="90"/>
            </w:tcMar>
          </w:tcPr>
          <w:p>
            <w:r>
              <w:rPr>
                <w:b/>
                <w:bCs/>
                <w:color w:val="FFFFFF"/>
                <w:sz w:val="18"/>
                <w:szCs w:val="18"/>
              </w:rPr>
              <w:t xml:space="preserve">The product will</w:t>
            </w:r>
          </w:p>
        </w:tc>
        <w:tc>
          <w:tcPr>
            <w:tcW w:type="dxa" w:w="4513"/>
            <w:shd w:fill="0B2233" w:val="clear"/>
            <w:tcMar>
              <w:top w:type="dxa" w:w="55"/>
              <w:left w:type="dxa" w:w="90"/>
              <w:bottom w:type="dxa" w:w="55"/>
              <w:right w:type="dxa" w:w="90"/>
            </w:tcMar>
          </w:tcPr>
          <w:p>
            <w:r>
              <w:rPr>
                <w:b/>
                <w:bCs/>
                <w:color w:val="FFFFFF"/>
                <w:sz w:val="18"/>
                <w:szCs w:val="18"/>
              </w:rPr>
              <w:t xml:space="preserve">The product will not</w:t>
            </w:r>
          </w:p>
        </w:tc>
      </w:tr>
      <w:tr>
        <w:tc>
          <w:tcPr>
            <w:tcW w:type="dxa" w:w="4513"/>
            <w:tcMar>
              <w:top w:type="dxa" w:w="55"/>
              <w:left w:type="dxa" w:w="90"/>
              <w:bottom w:type="dxa" w:w="55"/>
              <w:right w:type="dxa" w:w="90"/>
            </w:tcMar>
          </w:tcPr>
          <w:p>
            <w:r>
              <w:rPr>
                <w:b w:val="false"/>
                <w:bCs w:val="false"/>
                <w:color w:val="000000"/>
                <w:sz w:val="18"/>
                <w:szCs w:val="18"/>
              </w:rPr>
              <w:t xml:space="preserve">Estimate calories and macronutrients from logged food</w:t>
            </w:r>
          </w:p>
        </w:tc>
        <w:tc>
          <w:tcPr>
            <w:tcW w:type="dxa" w:w="4513"/>
            <w:tcMar>
              <w:top w:type="dxa" w:w="55"/>
              <w:left w:type="dxa" w:w="90"/>
              <w:bottom w:type="dxa" w:w="55"/>
              <w:right w:type="dxa" w:w="90"/>
            </w:tcMar>
          </w:tcPr>
          <w:p>
            <w:r>
              <w:rPr>
                <w:b w:val="false"/>
                <w:bCs w:val="false"/>
                <w:color w:val="000000"/>
                <w:sz w:val="18"/>
                <w:szCs w:val="18"/>
              </w:rPr>
              <w:t xml:space="preserve">Diagnose any condition or interpret medical results</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Suggest meals within the user's stated preferences and targets</w:t>
            </w:r>
          </w:p>
        </w:tc>
        <w:tc>
          <w:tcPr>
            <w:tcW w:type="dxa" w:w="4513"/>
            <w:shd w:fill="F4FAFC" w:val="clear"/>
            <w:tcMar>
              <w:top w:type="dxa" w:w="55"/>
              <w:left w:type="dxa" w:w="90"/>
              <w:bottom w:type="dxa" w:w="55"/>
              <w:right w:type="dxa" w:w="90"/>
            </w:tcMar>
          </w:tcPr>
          <w:p>
            <w:r>
              <w:rPr>
                <w:b w:val="false"/>
                <w:bCs w:val="false"/>
                <w:color w:val="000000"/>
                <w:sz w:val="18"/>
                <w:szCs w:val="18"/>
              </w:rPr>
              <w:t xml:space="preserve">Advise on medication, supplements as treatment, or clinical nutrition therapy</w:t>
            </w:r>
          </w:p>
        </w:tc>
      </w:tr>
      <w:tr>
        <w:tc>
          <w:tcPr>
            <w:tcW w:type="dxa" w:w="4513"/>
            <w:tcMar>
              <w:top w:type="dxa" w:w="55"/>
              <w:left w:type="dxa" w:w="90"/>
              <w:bottom w:type="dxa" w:w="55"/>
              <w:right w:type="dxa" w:w="90"/>
            </w:tcMar>
          </w:tcPr>
          <w:p>
            <w:r>
              <w:rPr>
                <w:b w:val="false"/>
                <w:bCs w:val="false"/>
                <w:color w:val="000000"/>
                <w:sz w:val="18"/>
                <w:szCs w:val="18"/>
              </w:rPr>
              <w:t xml:space="preserve">Generate home training plans within safe progression limits</w:t>
            </w:r>
          </w:p>
        </w:tc>
        <w:tc>
          <w:tcPr>
            <w:tcW w:type="dxa" w:w="4513"/>
            <w:tcMar>
              <w:top w:type="dxa" w:w="55"/>
              <w:left w:type="dxa" w:w="90"/>
              <w:bottom w:type="dxa" w:w="55"/>
              <w:right w:type="dxa" w:w="90"/>
            </w:tcMar>
          </w:tcPr>
          <w:p>
            <w:r>
              <w:rPr>
                <w:b w:val="false"/>
                <w:bCs w:val="false"/>
                <w:color w:val="000000"/>
                <w:sz w:val="18"/>
                <w:szCs w:val="18"/>
              </w:rPr>
              <w:t xml:space="preserve">Prescribe rehabilitation for an injury</w:t>
            </w:r>
          </w:p>
        </w:tc>
      </w:tr>
      <w:tr>
        <w:tc>
          <w:tcPr>
            <w:tcW w:type="dxa" w:w="4513"/>
            <w:shd w:fill="F4FAFC" w:val="clear"/>
            <w:tcMar>
              <w:top w:type="dxa" w:w="55"/>
              <w:left w:type="dxa" w:w="90"/>
              <w:bottom w:type="dxa" w:w="55"/>
              <w:right w:type="dxa" w:w="90"/>
            </w:tcMar>
          </w:tcPr>
          <w:p>
            <w:r>
              <w:rPr>
                <w:b w:val="false"/>
                <w:bCs w:val="false"/>
                <w:color w:val="000000"/>
                <w:sz w:val="18"/>
                <w:szCs w:val="18"/>
              </w:rPr>
              <w:t xml:space="preserve">Signpost professional help when a question falls outside scope</w:t>
            </w:r>
          </w:p>
        </w:tc>
        <w:tc>
          <w:tcPr>
            <w:tcW w:type="dxa" w:w="4513"/>
            <w:shd w:fill="F4FAFC" w:val="clear"/>
            <w:tcMar>
              <w:top w:type="dxa" w:w="55"/>
              <w:left w:type="dxa" w:w="90"/>
              <w:bottom w:type="dxa" w:w="55"/>
              <w:right w:type="dxa" w:w="90"/>
            </w:tcMar>
          </w:tcPr>
          <w:p>
            <w:r>
              <w:rPr>
                <w:b w:val="false"/>
                <w:bCs w:val="false"/>
                <w:color w:val="000000"/>
                <w:sz w:val="18"/>
                <w:szCs w:val="18"/>
              </w:rPr>
              <w:t xml:space="preserve">Provide counselling or eating disorder treatment</w:t>
            </w:r>
          </w:p>
        </w:tc>
      </w:tr>
      <w:tr>
        <w:tc>
          <w:tcPr>
            <w:tcW w:type="dxa" w:w="4513"/>
            <w:tcMar>
              <w:top w:type="dxa" w:w="55"/>
              <w:left w:type="dxa" w:w="90"/>
              <w:bottom w:type="dxa" w:w="55"/>
              <w:right w:type="dxa" w:w="90"/>
            </w:tcMar>
          </w:tcPr>
          <w:p>
            <w:r>
              <w:rPr>
                <w:b w:val="false"/>
                <w:bCs w:val="false"/>
                <w:color w:val="000000"/>
                <w:sz w:val="18"/>
                <w:szCs w:val="18"/>
              </w:rPr>
              <w:t xml:space="preserve">Show trends and let the user draw conclusions</w:t>
            </w:r>
          </w:p>
        </w:tc>
        <w:tc>
          <w:tcPr>
            <w:tcW w:type="dxa" w:w="4513"/>
            <w:tcMar>
              <w:top w:type="dxa" w:w="55"/>
              <w:left w:type="dxa" w:w="90"/>
              <w:bottom w:type="dxa" w:w="55"/>
              <w:right w:type="dxa" w:w="90"/>
            </w:tcMar>
          </w:tcPr>
          <w:p>
            <w:r>
              <w:rPr>
                <w:b w:val="false"/>
                <w:bCs w:val="false"/>
                <w:color w:val="000000"/>
                <w:sz w:val="18"/>
                <w:szCs w:val="18"/>
              </w:rPr>
              <w:t xml:space="preserve">Claim a health outcome or imply clinical efficacy</w:t>
            </w:r>
          </w:p>
        </w:tc>
      </w:tr>
    </w:tbl>
    <w:p>
      <w:pPr>
        <w:spacing w:after="110"/>
      </w:pPr>
      <w:r>
        <w:rPr>
          <w:b w:val="false"/>
          <w:bCs w:val="false"/>
          <w:i w:val="false"/>
          <w:iCs w:val="false"/>
          <w:color w:val="000000"/>
          <w:sz w:val="21"/>
          <w:szCs w:val="21"/>
        </w:rPr>
        <w:t xml:space="preserve">Commercial note: the moment marketing copy promises diagnosis, treatment or a medical outcome, the product enters software-as-a-medical-device territory in Australia. The capstone boundary and the commercial boundary are deliberately the same line.</w:t>
      </w:r>
    </w:p>
    <w:p>
      <w:pPr>
        <w:pStyle w:val="Heading1"/>
        <w:pBdr>
          <w:bottom w:val="single" w:color="21C0DA" w:sz="6"/>
        </w:pBdr>
        <w:spacing w:after="140" w:before="300"/>
      </w:pPr>
      <w:r>
        <w:rPr>
          <w:b/>
          <w:bCs/>
          <w:color w:val="0B2233"/>
          <w:sz w:val="30"/>
          <w:szCs w:val="30"/>
        </w:rPr>
        <w:t xml:space="preserve">2. Content Safety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shd w:fill="0B2233" w:val="clear"/>
            <w:tcMar>
              <w:top w:type="dxa" w:w="55"/>
              <w:left w:type="dxa" w:w="90"/>
              <w:bottom w:type="dxa" w:w="55"/>
              <w:right w:type="dxa" w:w="90"/>
            </w:tcMar>
          </w:tcPr>
          <w:p>
            <w:r>
              <w:rPr>
                <w:b/>
                <w:bCs/>
                <w:color w:val="FFFFFF"/>
                <w:sz w:val="18"/>
                <w:szCs w:val="18"/>
              </w:rPr>
              <w:t xml:space="preserve">Policy</w:t>
            </w:r>
          </w:p>
        </w:tc>
        <w:tc>
          <w:tcPr>
            <w:tcW w:type="dxa" w:w="3700"/>
            <w:shd w:fill="0B2233" w:val="clear"/>
            <w:tcMar>
              <w:top w:type="dxa" w:w="55"/>
              <w:left w:type="dxa" w:w="90"/>
              <w:bottom w:type="dxa" w:w="55"/>
              <w:right w:type="dxa" w:w="90"/>
            </w:tcMar>
          </w:tcPr>
          <w:p>
            <w:r>
              <w:rPr>
                <w:b/>
                <w:bCs/>
                <w:color w:val="FFFFFF"/>
                <w:sz w:val="18"/>
                <w:szCs w:val="18"/>
              </w:rPr>
              <w:t xml:space="preserve">Rule</w:t>
            </w:r>
          </w:p>
        </w:tc>
        <w:tc>
          <w:tcPr>
            <w:tcW w:type="dxa" w:w="3826"/>
            <w:shd w:fill="0B2233" w:val="clear"/>
            <w:tcMar>
              <w:top w:type="dxa" w:w="55"/>
              <w:left w:type="dxa" w:w="90"/>
              <w:bottom w:type="dxa" w:w="55"/>
              <w:right w:type="dxa" w:w="90"/>
            </w:tcMar>
          </w:tcPr>
          <w:p>
            <w:r>
              <w:rPr>
                <w:b/>
                <w:bCs/>
                <w:color w:val="FFFFFF"/>
                <w:sz w:val="18"/>
                <w:szCs w:val="18"/>
              </w:rPr>
              <w:t xml:space="preserve">Enforcement</w:t>
            </w:r>
          </w:p>
        </w:tc>
      </w:tr>
      <w:tr>
        <w:tc>
          <w:tcPr>
            <w:tcW w:type="dxa" w:w="1500"/>
            <w:tcMar>
              <w:top w:type="dxa" w:w="55"/>
              <w:left w:type="dxa" w:w="90"/>
              <w:bottom w:type="dxa" w:w="55"/>
              <w:right w:type="dxa" w:w="90"/>
            </w:tcMar>
          </w:tcPr>
          <w:p>
            <w:r>
              <w:rPr>
                <w:b w:val="false"/>
                <w:bCs w:val="false"/>
                <w:color w:val="000000"/>
                <w:sz w:val="18"/>
                <w:szCs w:val="18"/>
              </w:rPr>
              <w:t xml:space="preserve">Calorie floor</w:t>
            </w:r>
          </w:p>
        </w:tc>
        <w:tc>
          <w:tcPr>
            <w:tcW w:type="dxa" w:w="3700"/>
            <w:tcMar>
              <w:top w:type="dxa" w:w="55"/>
              <w:left w:type="dxa" w:w="90"/>
              <w:bottom w:type="dxa" w:w="55"/>
              <w:right w:type="dxa" w:w="90"/>
            </w:tcMar>
          </w:tcPr>
          <w:p>
            <w:r>
              <w:rPr>
                <w:b w:val="false"/>
                <w:bCs w:val="false"/>
                <w:color w:val="000000"/>
                <w:sz w:val="18"/>
                <w:szCs w:val="18"/>
              </w:rPr>
              <w:t xml:space="preserve">No generated target may fall below the configured floor, default 1200 kcal female and 1500 kcal male</w:t>
            </w:r>
          </w:p>
        </w:tc>
        <w:tc>
          <w:tcPr>
            <w:tcW w:type="dxa" w:w="3826"/>
            <w:tcMar>
              <w:top w:type="dxa" w:w="55"/>
              <w:left w:type="dxa" w:w="90"/>
              <w:bottom w:type="dxa" w:w="55"/>
              <w:right w:type="dxa" w:w="90"/>
            </w:tcMar>
          </w:tcPr>
          <w:p>
            <w:r>
              <w:rPr>
                <w:b w:val="false"/>
                <w:bCs w:val="false"/>
                <w:color w:val="000000"/>
                <w:sz w:val="18"/>
                <w:szCs w:val="18"/>
              </w:rPr>
              <w:t xml:space="preserve">Deterministic clamp in TargetCalculator, unit tested to full branch coverage</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Deficit ceiling</w:t>
            </w:r>
          </w:p>
        </w:tc>
        <w:tc>
          <w:tcPr>
            <w:tcW w:type="dxa" w:w="3700"/>
            <w:shd w:fill="F4FAFC" w:val="clear"/>
            <w:tcMar>
              <w:top w:type="dxa" w:w="55"/>
              <w:left w:type="dxa" w:w="90"/>
              <w:bottom w:type="dxa" w:w="55"/>
              <w:right w:type="dxa" w:w="90"/>
            </w:tcMar>
          </w:tcPr>
          <w:p>
            <w:r>
              <w:rPr>
                <w:b w:val="false"/>
                <w:bCs w:val="false"/>
                <w:color w:val="000000"/>
                <w:sz w:val="18"/>
                <w:szCs w:val="18"/>
              </w:rPr>
              <w:t xml:space="preserve">Weight-loss rate capped at 0.5 to 1.0 percent of bodyweight per week</w:t>
            </w:r>
          </w:p>
        </w:tc>
        <w:tc>
          <w:tcPr>
            <w:tcW w:type="dxa" w:w="3826"/>
            <w:shd w:fill="F4FAFC" w:val="clear"/>
            <w:tcMar>
              <w:top w:type="dxa" w:w="55"/>
              <w:left w:type="dxa" w:w="90"/>
              <w:bottom w:type="dxa" w:w="55"/>
              <w:right w:type="dxa" w:w="90"/>
            </w:tcMar>
          </w:tcPr>
          <w:p>
            <w:r>
              <w:rPr>
                <w:b w:val="false"/>
                <w:bCs w:val="false"/>
                <w:color w:val="000000"/>
                <w:sz w:val="18"/>
                <w:szCs w:val="18"/>
              </w:rPr>
              <w:t xml:space="preserve">Bounded in target derivation and in weekly adaptation</w:t>
            </w:r>
          </w:p>
        </w:tc>
      </w:tr>
      <w:tr>
        <w:tc>
          <w:tcPr>
            <w:tcW w:type="dxa" w:w="1500"/>
            <w:tcMar>
              <w:top w:type="dxa" w:w="55"/>
              <w:left w:type="dxa" w:w="90"/>
              <w:bottom w:type="dxa" w:w="55"/>
              <w:right w:type="dxa" w:w="90"/>
            </w:tcMar>
          </w:tcPr>
          <w:p>
            <w:r>
              <w:rPr>
                <w:b w:val="false"/>
                <w:bCs w:val="false"/>
                <w:color w:val="000000"/>
                <w:sz w:val="18"/>
                <w:szCs w:val="18"/>
              </w:rPr>
              <w:t xml:space="preserve">No extreme protocols</w:t>
            </w:r>
          </w:p>
        </w:tc>
        <w:tc>
          <w:tcPr>
            <w:tcW w:type="dxa" w:w="3700"/>
            <w:tcMar>
              <w:top w:type="dxa" w:w="55"/>
              <w:left w:type="dxa" w:w="90"/>
              <w:bottom w:type="dxa" w:w="55"/>
              <w:right w:type="dxa" w:w="90"/>
            </w:tcMar>
          </w:tcPr>
          <w:p>
            <w:r>
              <w:rPr>
                <w:b w:val="false"/>
                <w:bCs w:val="false"/>
                <w:color w:val="000000"/>
                <w:sz w:val="18"/>
                <w:szCs w:val="18"/>
              </w:rPr>
              <w:t xml:space="preserve">No prolonged fasting, crash diets, purging or dehydration practices in any output</w:t>
            </w:r>
          </w:p>
        </w:tc>
        <w:tc>
          <w:tcPr>
            <w:tcW w:type="dxa" w:w="3826"/>
            <w:tcMar>
              <w:top w:type="dxa" w:w="55"/>
              <w:left w:type="dxa" w:w="90"/>
              <w:bottom w:type="dxa" w:w="55"/>
              <w:right w:type="dxa" w:w="90"/>
            </w:tcMar>
          </w:tcPr>
          <w:p>
            <w:r>
              <w:rPr>
                <w:b w:val="false"/>
                <w:bCs w:val="false"/>
                <w:color w:val="000000"/>
                <w:sz w:val="18"/>
                <w:szCs w:val="18"/>
              </w:rPr>
              <w:t xml:space="preserve">Prompt policy plus output filter plus numeric rules</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Exercise safety</w:t>
            </w:r>
          </w:p>
        </w:tc>
        <w:tc>
          <w:tcPr>
            <w:tcW w:type="dxa" w:w="3700"/>
            <w:shd w:fill="F4FAFC" w:val="clear"/>
            <w:tcMar>
              <w:top w:type="dxa" w:w="55"/>
              <w:left w:type="dxa" w:w="90"/>
              <w:bottom w:type="dxa" w:w="55"/>
              <w:right w:type="dxa" w:w="90"/>
            </w:tcMar>
          </w:tcPr>
          <w:p>
            <w:r>
              <w:rPr>
                <w:b w:val="false"/>
                <w:bCs w:val="false"/>
                <w:color w:val="000000"/>
                <w:sz w:val="18"/>
                <w:szCs w:val="18"/>
              </w:rPr>
              <w:t xml:space="preserve">No high-risk movement for a beginner profile; warm-up included; pain means stop</w:t>
            </w:r>
          </w:p>
        </w:tc>
        <w:tc>
          <w:tcPr>
            <w:tcW w:type="dxa" w:w="3826"/>
            <w:shd w:fill="F4FAFC" w:val="clear"/>
            <w:tcMar>
              <w:top w:type="dxa" w:w="55"/>
              <w:left w:type="dxa" w:w="90"/>
              <w:bottom w:type="dxa" w:w="55"/>
              <w:right w:type="dxa" w:w="90"/>
            </w:tcMar>
          </w:tcPr>
          <w:p>
            <w:r>
              <w:rPr>
                <w:b w:val="false"/>
                <w:bCs w:val="false"/>
                <w:color w:val="000000"/>
                <w:sz w:val="18"/>
                <w:szCs w:val="18"/>
              </w:rPr>
              <w:t xml:space="preserve">Scheduler constraints plus content tagging in the exercise library</w:t>
            </w:r>
          </w:p>
        </w:tc>
      </w:tr>
      <w:tr>
        <w:tc>
          <w:tcPr>
            <w:tcW w:type="dxa" w:w="1500"/>
            <w:tcMar>
              <w:top w:type="dxa" w:w="55"/>
              <w:left w:type="dxa" w:w="90"/>
              <w:bottom w:type="dxa" w:w="55"/>
              <w:right w:type="dxa" w:w="90"/>
            </w:tcMar>
          </w:tcPr>
          <w:p>
            <w:r>
              <w:rPr>
                <w:b w:val="false"/>
                <w:bCs w:val="false"/>
                <w:color w:val="000000"/>
                <w:sz w:val="18"/>
                <w:szCs w:val="18"/>
              </w:rPr>
              <w:t xml:space="preserve">Allergen exclusion</w:t>
            </w:r>
          </w:p>
        </w:tc>
        <w:tc>
          <w:tcPr>
            <w:tcW w:type="dxa" w:w="3700"/>
            <w:tcMar>
              <w:top w:type="dxa" w:w="55"/>
              <w:left w:type="dxa" w:w="90"/>
              <w:bottom w:type="dxa" w:w="55"/>
              <w:right w:type="dxa" w:w="90"/>
            </w:tcMar>
          </w:tcPr>
          <w:p>
            <w:r>
              <w:rPr>
                <w:b w:val="false"/>
                <w:bCs w:val="false"/>
                <w:color w:val="000000"/>
                <w:sz w:val="18"/>
                <w:szCs w:val="18"/>
              </w:rPr>
              <w:t xml:space="preserve">Declared allergens never appear in a suggestion</w:t>
            </w:r>
          </w:p>
        </w:tc>
        <w:tc>
          <w:tcPr>
            <w:tcW w:type="dxa" w:w="3826"/>
            <w:tcMar>
              <w:top w:type="dxa" w:w="55"/>
              <w:left w:type="dxa" w:w="90"/>
              <w:bottom w:type="dxa" w:w="55"/>
              <w:right w:type="dxa" w:w="90"/>
            </w:tcMar>
          </w:tcPr>
          <w:p>
            <w:r>
              <w:rPr>
                <w:b w:val="false"/>
                <w:bCs w:val="false"/>
                <w:color w:val="000000"/>
                <w:sz w:val="18"/>
                <w:szCs w:val="18"/>
              </w:rPr>
              <w:t xml:space="preserve">Deterministic filter, zero tolerance for false negatives, tested</w:t>
            </w:r>
          </w:p>
        </w:tc>
      </w:tr>
      <w:tr>
        <w:tc>
          <w:tcPr>
            <w:tcW w:type="dxa" w:w="1500"/>
            <w:shd w:fill="F4FAFC" w:val="clear"/>
            <w:tcMar>
              <w:top w:type="dxa" w:w="55"/>
              <w:left w:type="dxa" w:w="90"/>
              <w:bottom w:type="dxa" w:w="55"/>
              <w:right w:type="dxa" w:w="90"/>
            </w:tcMar>
          </w:tcPr>
          <w:p>
            <w:r>
              <w:rPr>
                <w:b w:val="false"/>
                <w:bCs w:val="false"/>
                <w:color w:val="000000"/>
                <w:sz w:val="18"/>
                <w:szCs w:val="18"/>
              </w:rPr>
              <w:t xml:space="preserve">Age</w:t>
            </w:r>
          </w:p>
        </w:tc>
        <w:tc>
          <w:tcPr>
            <w:tcW w:type="dxa" w:w="3700"/>
            <w:shd w:fill="F4FAFC" w:val="clear"/>
            <w:tcMar>
              <w:top w:type="dxa" w:w="55"/>
              <w:left w:type="dxa" w:w="90"/>
              <w:bottom w:type="dxa" w:w="55"/>
              <w:right w:type="dxa" w:w="90"/>
            </w:tcMar>
          </w:tcPr>
          <w:p>
            <w:r>
              <w:rPr>
                <w:b w:val="false"/>
                <w:bCs w:val="false"/>
                <w:color w:val="000000"/>
                <w:sz w:val="18"/>
                <w:szCs w:val="18"/>
              </w:rPr>
              <w:t xml:space="preserve">Minimum age sixteen; users under eighteen receive conservative defaults and additional signposting</w:t>
            </w:r>
          </w:p>
        </w:tc>
        <w:tc>
          <w:tcPr>
            <w:tcW w:type="dxa" w:w="3826"/>
            <w:shd w:fill="F4FAFC" w:val="clear"/>
            <w:tcMar>
              <w:top w:type="dxa" w:w="55"/>
              <w:left w:type="dxa" w:w="90"/>
              <w:bottom w:type="dxa" w:w="55"/>
              <w:right w:type="dxa" w:w="90"/>
            </w:tcMar>
          </w:tcPr>
          <w:p>
            <w:r>
              <w:rPr>
                <w:b w:val="false"/>
                <w:bCs w:val="false"/>
                <w:color w:val="000000"/>
                <w:sz w:val="18"/>
                <w:szCs w:val="18"/>
              </w:rPr>
              <w:t xml:space="preserve">Registration validation and profile-driven policy</w:t>
            </w:r>
          </w:p>
        </w:tc>
      </w:tr>
    </w:tbl>
    <w:p>
      <w:pPr>
        <w:pStyle w:val="Heading1"/>
        <w:pBdr>
          <w:bottom w:val="single" w:color="21C0DA" w:sz="6"/>
        </w:pBdr>
        <w:spacing w:after="140" w:before="300"/>
      </w:pPr>
      <w:r>
        <w:rPr>
          <w:b/>
          <w:bCs/>
          <w:color w:val="0B2233"/>
          <w:sz w:val="30"/>
          <w:szCs w:val="30"/>
        </w:rPr>
        <w:t xml:space="preserve">3. Guardrail Architecture</w:t>
      </w:r>
    </w:p>
    <w:p>
      <w:pPr>
        <w:spacing w:after="40" w:before="140"/>
        <w:jc w:val="center"/>
      </w:pPr>
      <w:r>
        <w:drawing>
          <wp:inline distT="0" distB="0" distL="0" distR="0">
            <wp:extent cx="4191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257425"/>
                    </a:xfrm>
                    <a:prstGeom prst="rect">
                      <a:avLst/>
                    </a:prstGeom>
                  </pic:spPr>
                </pic:pic>
              </a:graphicData>
            </a:graphic>
          </wp:inline>
        </w:drawing>
      </w:r>
    </w:p>
    <w:p>
      <w:pPr>
        <w:spacing w:after="160"/>
        <w:jc w:val="center"/>
      </w:pPr>
      <w:r>
        <w:rPr>
          <w:i/>
          <w:iCs/>
          <w:color w:val="5A6672"/>
          <w:sz w:val="17"/>
          <w:szCs w:val="17"/>
        </w:rPr>
        <w:t xml:space="preserve">Figure 11.1: Six-stage guardrail path around every model call, with telemetry at each stage</w:t>
      </w:r>
    </w:p>
    <w:p>
      <w:pPr>
        <w:pStyle w:val="ListParagraph"/>
        <w:numPr>
          <w:ilvl w:val="0"/>
          <w:numId w:val="2"/>
        </w:numPr>
        <w:spacing w:after="55"/>
      </w:pPr>
      <w:r>
        <w:rPr>
          <w:sz w:val="21"/>
          <w:szCs w:val="21"/>
        </w:rPr>
        <w:t xml:space="preserve">Stage one screens input before any premium token is spent, using the cheap lane, which makes safety inexpensive.</w:t>
      </w:r>
    </w:p>
    <w:p>
      <w:pPr>
        <w:pStyle w:val="ListParagraph"/>
        <w:numPr>
          <w:ilvl w:val="0"/>
          <w:numId w:val="2"/>
        </w:numPr>
        <w:spacing w:after="55"/>
      </w:pPr>
      <w:r>
        <w:rPr>
          <w:sz w:val="21"/>
          <w:szCs w:val="21"/>
        </w:rPr>
        <w:t xml:space="preserve">Stage two constrains the model with a scoped system prompt and a bounded tool set.</w:t>
      </w:r>
    </w:p>
    <w:p>
      <w:pPr>
        <w:pStyle w:val="ListParagraph"/>
        <w:numPr>
          <w:ilvl w:val="0"/>
          <w:numId w:val="2"/>
        </w:numPr>
        <w:spacing w:after="55"/>
      </w:pPr>
      <w:r>
        <w:rPr>
          <w:sz w:val="21"/>
          <w:szCs w:val="21"/>
        </w:rPr>
        <w:t xml:space="preserve">Stage four filters generated content; stage five applies numeric rules that a language model cannot be trusted to respect.</w:t>
      </w:r>
    </w:p>
    <w:p>
      <w:pPr>
        <w:pStyle w:val="ListParagraph"/>
        <w:numPr>
          <w:ilvl w:val="0"/>
          <w:numId w:val="2"/>
        </w:numPr>
        <w:spacing w:after="55"/>
      </w:pPr>
      <w:r>
        <w:rPr>
          <w:sz w:val="21"/>
          <w:szCs w:val="21"/>
        </w:rPr>
        <w:t xml:space="preserve">Stage six attaches the persistent disclaimer and the report control, so the user always has a way to flag a bad answer.</w:t>
      </w:r>
    </w:p>
    <w:p>
      <w:pPr>
        <w:pStyle w:val="ListParagraph"/>
        <w:numPr>
          <w:ilvl w:val="0"/>
          <w:numId w:val="2"/>
        </w:numPr>
        <w:spacing w:after="55"/>
      </w:pPr>
      <w:r>
        <w:rPr>
          <w:sz w:val="21"/>
          <w:szCs w:val="21"/>
        </w:rPr>
        <w:t xml:space="preserve">Every stage writes a telemetry event, so guardrail behaviour is measurable rather than assumed.</w:t>
      </w:r>
    </w:p>
    <w:p>
      <w:pPr>
        <w:pStyle w:val="Heading1"/>
        <w:pBdr>
          <w:bottom w:val="single" w:color="21C0DA" w:sz="6"/>
        </w:pBdr>
        <w:spacing w:after="140" w:before="300"/>
      </w:pPr>
      <w:r>
        <w:rPr>
          <w:b/>
          <w:bCs/>
          <w:color w:val="0B2233"/>
          <w:sz w:val="30"/>
          <w:szCs w:val="30"/>
        </w:rPr>
        <w:t xml:space="preserve">4. Crisis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0B2233" w:val="clear"/>
            <w:tcMar>
              <w:top w:type="dxa" w:w="55"/>
              <w:left w:type="dxa" w:w="90"/>
              <w:bottom w:type="dxa" w:w="55"/>
              <w:right w:type="dxa" w:w="90"/>
            </w:tcMar>
          </w:tcPr>
          <w:p>
            <w:r>
              <w:rPr>
                <w:b/>
                <w:bCs/>
                <w:color w:val="FFFFFF"/>
                <w:sz w:val="18"/>
                <w:szCs w:val="18"/>
              </w:rPr>
              <w:t xml:space="preserve">Signal category</w:t>
            </w:r>
          </w:p>
        </w:tc>
        <w:tc>
          <w:tcPr>
            <w:tcW w:type="dxa" w:w="6726"/>
            <w:shd w:fill="0B2233" w:val="clear"/>
            <w:tcMar>
              <w:top w:type="dxa" w:w="55"/>
              <w:left w:type="dxa" w:w="90"/>
              <w:bottom w:type="dxa" w:w="55"/>
              <w:right w:type="dxa" w:w="90"/>
            </w:tcMar>
          </w:tcPr>
          <w:p>
            <w:r>
              <w:rPr>
                <w:b/>
                <w:bCs/>
                <w:color w:val="FFFFFF"/>
                <w:sz w:val="18"/>
                <w:szCs w:val="18"/>
              </w:rPr>
              <w:t xml:space="preserve">Response</w:t>
            </w:r>
          </w:p>
        </w:tc>
      </w:tr>
      <w:tr>
        <w:tc>
          <w:tcPr>
            <w:tcW w:type="dxa" w:w="2300"/>
            <w:tcMar>
              <w:top w:type="dxa" w:w="55"/>
              <w:left w:type="dxa" w:w="90"/>
              <w:bottom w:type="dxa" w:w="55"/>
              <w:right w:type="dxa" w:w="90"/>
            </w:tcMar>
          </w:tcPr>
          <w:p>
            <w:r>
              <w:rPr>
                <w:b w:val="false"/>
                <w:bCs w:val="false"/>
                <w:color w:val="000000"/>
                <w:sz w:val="18"/>
                <w:szCs w:val="18"/>
              </w:rPr>
              <w:t xml:space="preserve">Self-harm or suicidal language</w:t>
            </w:r>
          </w:p>
        </w:tc>
        <w:tc>
          <w:tcPr>
            <w:tcW w:type="dxa" w:w="6726"/>
            <w:tcMar>
              <w:top w:type="dxa" w:w="55"/>
              <w:left w:type="dxa" w:w="90"/>
              <w:bottom w:type="dxa" w:w="55"/>
              <w:right w:type="dxa" w:w="90"/>
            </w:tcMar>
          </w:tcPr>
          <w:p>
            <w:r>
              <w:rPr>
                <w:b w:val="false"/>
                <w:bCs w:val="false"/>
                <w:color w:val="000000"/>
                <w:sz w:val="18"/>
                <w:szCs w:val="18"/>
              </w:rPr>
              <w:t xml:space="preserve">Stop the wellness flow. Respond with a brief, warm message, provide Australian support contacts including Lifeline on 13 11 14, and do not continue with diet or exercise content in that turn</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Eating disorder indicators</w:t>
            </w:r>
          </w:p>
        </w:tc>
        <w:tc>
          <w:tcPr>
            <w:tcW w:type="dxa" w:w="6726"/>
            <w:shd w:fill="F4FAFC" w:val="clear"/>
            <w:tcMar>
              <w:top w:type="dxa" w:w="55"/>
              <w:left w:type="dxa" w:w="90"/>
              <w:bottom w:type="dxa" w:w="55"/>
              <w:right w:type="dxa" w:w="90"/>
            </w:tcMar>
          </w:tcPr>
          <w:p>
            <w:r>
              <w:rPr>
                <w:b w:val="false"/>
                <w:bCs w:val="false"/>
                <w:color w:val="000000"/>
                <w:sz w:val="18"/>
                <w:szCs w:val="18"/>
              </w:rPr>
              <w:t xml:space="preserve">Do not provide calorie or restriction content. Signpost the Butterfly Foundation National Helpline on 1800 33 4673 and encourage professional support</w:t>
            </w:r>
          </w:p>
        </w:tc>
      </w:tr>
      <w:tr>
        <w:tc>
          <w:tcPr>
            <w:tcW w:type="dxa" w:w="2300"/>
            <w:tcMar>
              <w:top w:type="dxa" w:w="55"/>
              <w:left w:type="dxa" w:w="90"/>
              <w:bottom w:type="dxa" w:w="55"/>
              <w:right w:type="dxa" w:w="90"/>
            </w:tcMar>
          </w:tcPr>
          <w:p>
            <w:r>
              <w:rPr>
                <w:b w:val="false"/>
                <w:bCs w:val="false"/>
                <w:color w:val="000000"/>
                <w:sz w:val="18"/>
                <w:szCs w:val="18"/>
              </w:rPr>
              <w:t xml:space="preserve">Requests for unsafe restriction</w:t>
            </w:r>
          </w:p>
        </w:tc>
        <w:tc>
          <w:tcPr>
            <w:tcW w:type="dxa" w:w="6726"/>
            <w:tcMar>
              <w:top w:type="dxa" w:w="55"/>
              <w:left w:type="dxa" w:w="90"/>
              <w:bottom w:type="dxa" w:w="55"/>
              <w:right w:type="dxa" w:w="90"/>
            </w:tcMar>
          </w:tcPr>
          <w:p>
            <w:r>
              <w:rPr>
                <w:b w:val="false"/>
                <w:bCs w:val="false"/>
                <w:color w:val="000000"/>
                <w:sz w:val="18"/>
                <w:szCs w:val="18"/>
              </w:rPr>
              <w:t xml:space="preserve">Refuse the specific request, explain the safety floor plainly, and offer a safe alternative</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Medical questions</w:t>
            </w:r>
          </w:p>
        </w:tc>
        <w:tc>
          <w:tcPr>
            <w:tcW w:type="dxa" w:w="6726"/>
            <w:shd w:fill="F4FAFC" w:val="clear"/>
            <w:tcMar>
              <w:top w:type="dxa" w:w="55"/>
              <w:left w:type="dxa" w:w="90"/>
              <w:bottom w:type="dxa" w:w="55"/>
              <w:right w:type="dxa" w:w="90"/>
            </w:tcMar>
          </w:tcPr>
          <w:p>
            <w:r>
              <w:rPr>
                <w:b w:val="false"/>
                <w:bCs w:val="false"/>
                <w:color w:val="000000"/>
                <w:sz w:val="18"/>
                <w:szCs w:val="18"/>
              </w:rPr>
              <w:t xml:space="preserve">Refuse with a supportive signpost to a general practitioner or accredited practising dietitian</w:t>
            </w:r>
          </w:p>
        </w:tc>
      </w:tr>
    </w:tbl>
    <w:p>
      <w:pPr>
        <w:pStyle w:val="ListParagraph"/>
        <w:numPr>
          <w:ilvl w:val="0"/>
          <w:numId w:val="2"/>
        </w:numPr>
        <w:spacing w:after="55"/>
      </w:pPr>
      <w:r>
        <w:rPr>
          <w:sz w:val="21"/>
          <w:szCs w:val="21"/>
        </w:rPr>
        <w:t xml:space="preserve">Responses never name or describe methods of self-harm.</w:t>
      </w:r>
    </w:p>
    <w:p>
      <w:pPr>
        <w:pStyle w:val="ListParagraph"/>
        <w:numPr>
          <w:ilvl w:val="0"/>
          <w:numId w:val="2"/>
        </w:numPr>
        <w:spacing w:after="55"/>
      </w:pPr>
      <w:r>
        <w:rPr>
          <w:sz w:val="21"/>
          <w:szCs w:val="21"/>
        </w:rPr>
        <w:t xml:space="preserve">Every crisis trigger is logged for review without storing the message content beyond the retention window.</w:t>
      </w:r>
    </w:p>
    <w:p>
      <w:pPr>
        <w:pStyle w:val="ListParagraph"/>
        <w:numPr>
          <w:ilvl w:val="0"/>
          <w:numId w:val="2"/>
        </w:numPr>
        <w:spacing w:after="55"/>
      </w:pPr>
      <w:r>
        <w:rPr>
          <w:sz w:val="21"/>
          <w:szCs w:val="21"/>
        </w:rPr>
        <w:t xml:space="preserve">The team does not present these responses as clinical care. They are a safe handover to people who provide it.</w:t>
      </w:r>
    </w:p>
    <w:p>
      <w:pPr>
        <w:pStyle w:val="Heading1"/>
        <w:pBdr>
          <w:bottom w:val="single" w:color="21C0DA" w:sz="6"/>
        </w:pBdr>
        <w:spacing w:after="140" w:before="300"/>
      </w:pPr>
      <w:r>
        <w:rPr>
          <w:b/>
          <w:bCs/>
          <w:color w:val="0B2233"/>
          <w:sz w:val="30"/>
          <w:szCs w:val="30"/>
        </w:rPr>
        <w:t xml:space="preserve">5. Privacy Design</w:t>
      </w:r>
    </w:p>
    <w:p>
      <w:pPr>
        <w:pStyle w:val="Heading2"/>
        <w:spacing w:after="100" w:before="220"/>
      </w:pPr>
      <w:r>
        <w:rPr>
          <w:b/>
          <w:bCs/>
          <w:color w:val="0A8CAB"/>
          <w:sz w:val="25"/>
          <w:szCs w:val="25"/>
        </w:rPr>
        <w:t xml:space="preserve">5.1 Data inventory and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tblHeader/>
        </w:trPr>
        <w:tc>
          <w:tcPr>
            <w:tcW w:type="dxa" w:w="1900"/>
            <w:shd w:fill="0B2233" w:val="clear"/>
            <w:tcMar>
              <w:top w:type="dxa" w:w="55"/>
              <w:left w:type="dxa" w:w="90"/>
              <w:bottom w:type="dxa" w:w="55"/>
              <w:right w:type="dxa" w:w="90"/>
            </w:tcMar>
          </w:tcPr>
          <w:p>
            <w:r>
              <w:rPr>
                <w:b/>
                <w:bCs/>
                <w:color w:val="FFFFFF"/>
                <w:sz w:val="18"/>
                <w:szCs w:val="18"/>
              </w:rPr>
              <w:t xml:space="preserve">Data</w:t>
            </w:r>
          </w:p>
        </w:tc>
        <w:tc>
          <w:tcPr>
            <w:tcW w:type="dxa" w:w="2300"/>
            <w:shd w:fill="0B2233" w:val="clear"/>
            <w:tcMar>
              <w:top w:type="dxa" w:w="55"/>
              <w:left w:type="dxa" w:w="90"/>
              <w:bottom w:type="dxa" w:w="55"/>
              <w:right w:type="dxa" w:w="90"/>
            </w:tcMar>
          </w:tcPr>
          <w:p>
            <w:r>
              <w:rPr>
                <w:b/>
                <w:bCs/>
                <w:color w:val="FFFFFF"/>
                <w:sz w:val="18"/>
                <w:szCs w:val="18"/>
              </w:rPr>
              <w:t xml:space="preserve">Classification</w:t>
            </w:r>
          </w:p>
        </w:tc>
        <w:tc>
          <w:tcPr>
            <w:tcW w:type="dxa" w:w="4826"/>
            <w:shd w:fill="0B2233" w:val="clear"/>
            <w:tcMar>
              <w:top w:type="dxa" w:w="55"/>
              <w:left w:type="dxa" w:w="90"/>
              <w:bottom w:type="dxa" w:w="55"/>
              <w:right w:type="dxa" w:w="90"/>
            </w:tcMar>
          </w:tcPr>
          <w:p>
            <w:r>
              <w:rPr>
                <w:b/>
                <w:bCs/>
                <w:color w:val="FFFFFF"/>
                <w:sz w:val="18"/>
                <w:szCs w:val="18"/>
              </w:rPr>
              <w:t xml:space="preserve">Basis and handling</w:t>
            </w:r>
          </w:p>
        </w:tc>
      </w:tr>
      <w:tr>
        <w:tc>
          <w:tcPr>
            <w:tcW w:type="dxa" w:w="1900"/>
            <w:tcMar>
              <w:top w:type="dxa" w:w="55"/>
              <w:left w:type="dxa" w:w="90"/>
              <w:bottom w:type="dxa" w:w="55"/>
              <w:right w:type="dxa" w:w="90"/>
            </w:tcMar>
          </w:tcPr>
          <w:p>
            <w:r>
              <w:rPr>
                <w:b w:val="false"/>
                <w:bCs w:val="false"/>
                <w:color w:val="000000"/>
                <w:sz w:val="18"/>
                <w:szCs w:val="18"/>
              </w:rPr>
              <w:t xml:space="preserve">Email and credentials</w:t>
            </w:r>
          </w:p>
        </w:tc>
        <w:tc>
          <w:tcPr>
            <w:tcW w:type="dxa" w:w="2300"/>
            <w:tcMar>
              <w:top w:type="dxa" w:w="55"/>
              <w:left w:type="dxa" w:w="90"/>
              <w:bottom w:type="dxa" w:w="55"/>
              <w:right w:type="dxa" w:w="90"/>
            </w:tcMar>
          </w:tcPr>
          <w:p>
            <w:r>
              <w:rPr>
                <w:b w:val="false"/>
                <w:bCs w:val="false"/>
                <w:color w:val="000000"/>
                <w:sz w:val="18"/>
                <w:szCs w:val="18"/>
              </w:rPr>
              <w:t xml:space="preserve">Personal information</w:t>
            </w:r>
          </w:p>
        </w:tc>
        <w:tc>
          <w:tcPr>
            <w:tcW w:type="dxa" w:w="4826"/>
            <w:tcMar>
              <w:top w:type="dxa" w:w="55"/>
              <w:left w:type="dxa" w:w="90"/>
              <w:bottom w:type="dxa" w:w="55"/>
              <w:right w:type="dxa" w:w="90"/>
            </w:tcMar>
          </w:tcPr>
          <w:p>
            <w:r>
              <w:rPr>
                <w:b w:val="false"/>
                <w:bCs w:val="false"/>
                <w:color w:val="000000"/>
                <w:sz w:val="18"/>
                <w:szCs w:val="18"/>
              </w:rPr>
              <w:t xml:space="preserve">Required for account; password hashed with a modern algorithm, never recoverable</w:t>
            </w:r>
          </w:p>
        </w:tc>
      </w:tr>
      <w:tr>
        <w:tc>
          <w:tcPr>
            <w:tcW w:type="dxa" w:w="1900"/>
            <w:shd w:fill="F4FAFC" w:val="clear"/>
            <w:tcMar>
              <w:top w:type="dxa" w:w="55"/>
              <w:left w:type="dxa" w:w="90"/>
              <w:bottom w:type="dxa" w:w="55"/>
              <w:right w:type="dxa" w:w="90"/>
            </w:tcMar>
          </w:tcPr>
          <w:p>
            <w:r>
              <w:rPr>
                <w:b w:val="false"/>
                <w:bCs w:val="false"/>
                <w:color w:val="000000"/>
                <w:sz w:val="18"/>
                <w:szCs w:val="18"/>
              </w:rPr>
              <w:t xml:space="preserve">Weight, height, age, body metrics</w:t>
            </w:r>
          </w:p>
        </w:tc>
        <w:tc>
          <w:tcPr>
            <w:tcW w:type="dxa" w:w="2300"/>
            <w:shd w:fill="F4FAFC" w:val="clear"/>
            <w:tcMar>
              <w:top w:type="dxa" w:w="55"/>
              <w:left w:type="dxa" w:w="90"/>
              <w:bottom w:type="dxa" w:w="55"/>
              <w:right w:type="dxa" w:w="90"/>
            </w:tcMar>
          </w:tcPr>
          <w:p>
            <w:r>
              <w:rPr>
                <w:b w:val="false"/>
                <w:bCs w:val="false"/>
                <w:color w:val="000000"/>
                <w:sz w:val="18"/>
                <w:szCs w:val="18"/>
              </w:rPr>
              <w:t xml:space="preserve">Sensitive health-adjacent information</w:t>
            </w:r>
          </w:p>
        </w:tc>
        <w:tc>
          <w:tcPr>
            <w:tcW w:type="dxa" w:w="4826"/>
            <w:shd w:fill="F4FAFC" w:val="clear"/>
            <w:tcMar>
              <w:top w:type="dxa" w:w="55"/>
              <w:left w:type="dxa" w:w="90"/>
              <w:bottom w:type="dxa" w:w="55"/>
              <w:right w:type="dxa" w:w="90"/>
            </w:tcMar>
          </w:tcPr>
          <w:p>
            <w:r>
              <w:rPr>
                <w:b w:val="false"/>
                <w:bCs w:val="false"/>
                <w:color w:val="000000"/>
                <w:sz w:val="18"/>
                <w:szCs w:val="18"/>
              </w:rPr>
              <w:t xml:space="preserve">Explicit consent at onboarding; logically separated; encrypted at rest and in transit</w:t>
            </w:r>
          </w:p>
        </w:tc>
      </w:tr>
      <w:tr>
        <w:tc>
          <w:tcPr>
            <w:tcW w:type="dxa" w:w="1900"/>
            <w:tcMar>
              <w:top w:type="dxa" w:w="55"/>
              <w:left w:type="dxa" w:w="90"/>
              <w:bottom w:type="dxa" w:w="55"/>
              <w:right w:type="dxa" w:w="90"/>
            </w:tcMar>
          </w:tcPr>
          <w:p>
            <w:r>
              <w:rPr>
                <w:b w:val="false"/>
                <w:bCs w:val="false"/>
                <w:color w:val="000000"/>
                <w:sz w:val="18"/>
                <w:szCs w:val="18"/>
              </w:rPr>
              <w:t xml:space="preserve">Meal logs and photographs</w:t>
            </w:r>
          </w:p>
        </w:tc>
        <w:tc>
          <w:tcPr>
            <w:tcW w:type="dxa" w:w="2300"/>
            <w:tcMar>
              <w:top w:type="dxa" w:w="55"/>
              <w:left w:type="dxa" w:w="90"/>
              <w:bottom w:type="dxa" w:w="55"/>
              <w:right w:type="dxa" w:w="90"/>
            </w:tcMar>
          </w:tcPr>
          <w:p>
            <w:r>
              <w:rPr>
                <w:b w:val="false"/>
                <w:bCs w:val="false"/>
                <w:color w:val="000000"/>
                <w:sz w:val="18"/>
                <w:szCs w:val="18"/>
              </w:rPr>
              <w:t xml:space="preserve">Sensitive health-adjacent information</w:t>
            </w:r>
          </w:p>
        </w:tc>
        <w:tc>
          <w:tcPr>
            <w:tcW w:type="dxa" w:w="4826"/>
            <w:tcMar>
              <w:top w:type="dxa" w:w="55"/>
              <w:left w:type="dxa" w:w="90"/>
              <w:bottom w:type="dxa" w:w="55"/>
              <w:right w:type="dxa" w:w="90"/>
            </w:tcMar>
          </w:tcPr>
          <w:p>
            <w:r>
              <w:rPr>
                <w:b w:val="false"/>
                <w:bCs w:val="false"/>
                <w:color w:val="000000"/>
                <w:sz w:val="18"/>
                <w:szCs w:val="18"/>
              </w:rPr>
              <w:t xml:space="preserve">Photographs deleted after confirmation plus a short grace window</w:t>
            </w:r>
          </w:p>
        </w:tc>
      </w:tr>
      <w:tr>
        <w:tc>
          <w:tcPr>
            <w:tcW w:type="dxa" w:w="1900"/>
            <w:shd w:fill="F4FAFC" w:val="clear"/>
            <w:tcMar>
              <w:top w:type="dxa" w:w="55"/>
              <w:left w:type="dxa" w:w="90"/>
              <w:bottom w:type="dxa" w:w="55"/>
              <w:right w:type="dxa" w:w="90"/>
            </w:tcMar>
          </w:tcPr>
          <w:p>
            <w:r>
              <w:rPr>
                <w:b w:val="false"/>
                <w:bCs w:val="false"/>
                <w:color w:val="000000"/>
                <w:sz w:val="18"/>
                <w:szCs w:val="18"/>
              </w:rPr>
              <w:t xml:space="preserve">Chat transcripts</w:t>
            </w:r>
          </w:p>
        </w:tc>
        <w:tc>
          <w:tcPr>
            <w:tcW w:type="dxa" w:w="2300"/>
            <w:shd w:fill="F4FAFC" w:val="clear"/>
            <w:tcMar>
              <w:top w:type="dxa" w:w="55"/>
              <w:left w:type="dxa" w:w="90"/>
              <w:bottom w:type="dxa" w:w="55"/>
              <w:right w:type="dxa" w:w="90"/>
            </w:tcMar>
          </w:tcPr>
          <w:p>
            <w:r>
              <w:rPr>
                <w:b w:val="false"/>
                <w:bCs w:val="false"/>
                <w:color w:val="000000"/>
                <w:sz w:val="18"/>
                <w:szCs w:val="18"/>
              </w:rPr>
              <w:t xml:space="preserve">Personal information</w:t>
            </w:r>
          </w:p>
        </w:tc>
        <w:tc>
          <w:tcPr>
            <w:tcW w:type="dxa" w:w="4826"/>
            <w:shd w:fill="F4FAFC" w:val="clear"/>
            <w:tcMar>
              <w:top w:type="dxa" w:w="55"/>
              <w:left w:type="dxa" w:w="90"/>
              <w:bottom w:type="dxa" w:w="55"/>
              <w:right w:type="dxa" w:w="90"/>
            </w:tcMar>
          </w:tcPr>
          <w:p>
            <w:r>
              <w:rPr>
                <w:b w:val="false"/>
                <w:bCs w:val="false"/>
                <w:color w:val="000000"/>
                <w:sz w:val="18"/>
                <w:szCs w:val="18"/>
              </w:rPr>
              <w:t xml:space="preserve">Rolling retention window; user can clear at any time</w:t>
            </w:r>
          </w:p>
        </w:tc>
      </w:tr>
      <w:tr>
        <w:tc>
          <w:tcPr>
            <w:tcW w:type="dxa" w:w="1900"/>
            <w:tcMar>
              <w:top w:type="dxa" w:w="55"/>
              <w:left w:type="dxa" w:w="90"/>
              <w:bottom w:type="dxa" w:w="55"/>
              <w:right w:type="dxa" w:w="90"/>
            </w:tcMar>
          </w:tcPr>
          <w:p>
            <w:r>
              <w:rPr>
                <w:b w:val="false"/>
                <w:bCs w:val="false"/>
                <w:color w:val="000000"/>
                <w:sz w:val="18"/>
                <w:szCs w:val="18"/>
              </w:rPr>
              <w:t xml:space="preserve">Telegram identifier</w:t>
            </w:r>
          </w:p>
        </w:tc>
        <w:tc>
          <w:tcPr>
            <w:tcW w:type="dxa" w:w="2300"/>
            <w:tcMar>
              <w:top w:type="dxa" w:w="55"/>
              <w:left w:type="dxa" w:w="90"/>
              <w:bottom w:type="dxa" w:w="55"/>
              <w:right w:type="dxa" w:w="90"/>
            </w:tcMar>
          </w:tcPr>
          <w:p>
            <w:r>
              <w:rPr>
                <w:b w:val="false"/>
                <w:bCs w:val="false"/>
                <w:color w:val="000000"/>
                <w:sz w:val="18"/>
                <w:szCs w:val="18"/>
              </w:rPr>
              <w:t xml:space="preserve">Personal information</w:t>
            </w:r>
          </w:p>
        </w:tc>
        <w:tc>
          <w:tcPr>
            <w:tcW w:type="dxa" w:w="4826"/>
            <w:tcMar>
              <w:top w:type="dxa" w:w="55"/>
              <w:left w:type="dxa" w:w="90"/>
              <w:bottom w:type="dxa" w:w="55"/>
              <w:right w:type="dxa" w:w="90"/>
            </w:tcMar>
          </w:tcPr>
          <w:p>
            <w:r>
              <w:rPr>
                <w:b w:val="false"/>
                <w:bCs w:val="false"/>
                <w:color w:val="000000"/>
                <w:sz w:val="18"/>
                <w:szCs w:val="18"/>
              </w:rPr>
              <w:t xml:space="preserve">Stored only to resolve identity; no other Telegram data retained</w:t>
            </w:r>
          </w:p>
        </w:tc>
      </w:tr>
      <w:tr>
        <w:tc>
          <w:tcPr>
            <w:tcW w:type="dxa" w:w="1900"/>
            <w:shd w:fill="F4FAFC" w:val="clear"/>
            <w:tcMar>
              <w:top w:type="dxa" w:w="55"/>
              <w:left w:type="dxa" w:w="90"/>
              <w:bottom w:type="dxa" w:w="55"/>
              <w:right w:type="dxa" w:w="90"/>
            </w:tcMar>
          </w:tcPr>
          <w:p>
            <w:r>
              <w:rPr>
                <w:b w:val="false"/>
                <w:bCs w:val="false"/>
                <w:color w:val="000000"/>
                <w:sz w:val="18"/>
                <w:szCs w:val="18"/>
              </w:rPr>
              <w:t xml:space="preserve">Aggregate analytics</w:t>
            </w:r>
          </w:p>
        </w:tc>
        <w:tc>
          <w:tcPr>
            <w:tcW w:type="dxa" w:w="2300"/>
            <w:shd w:fill="F4FAFC" w:val="clear"/>
            <w:tcMar>
              <w:top w:type="dxa" w:w="55"/>
              <w:left w:type="dxa" w:w="90"/>
              <w:bottom w:type="dxa" w:w="55"/>
              <w:right w:type="dxa" w:w="90"/>
            </w:tcMar>
          </w:tcPr>
          <w:p>
            <w:r>
              <w:rPr>
                <w:b w:val="false"/>
                <w:bCs w:val="false"/>
                <w:color w:val="000000"/>
                <w:sz w:val="18"/>
                <w:szCs w:val="18"/>
              </w:rPr>
              <w:t xml:space="preserve">Anonymous</w:t>
            </w:r>
          </w:p>
        </w:tc>
        <w:tc>
          <w:tcPr>
            <w:tcW w:type="dxa" w:w="4826"/>
            <w:shd w:fill="F4FAFC" w:val="clear"/>
            <w:tcMar>
              <w:top w:type="dxa" w:w="55"/>
              <w:left w:type="dxa" w:w="90"/>
              <w:bottom w:type="dxa" w:w="55"/>
              <w:right w:type="dxa" w:w="90"/>
            </w:tcMar>
          </w:tcPr>
          <w:p>
            <w:r>
              <w:rPr>
                <w:b w:val="false"/>
                <w:bCs w:val="false"/>
                <w:color w:val="000000"/>
                <w:sz w:val="18"/>
                <w:szCs w:val="18"/>
              </w:rPr>
              <w:t xml:space="preserve">No user reference exists; cannot be re-identified</w:t>
            </w:r>
          </w:p>
        </w:tc>
      </w:tr>
    </w:tbl>
    <w:p>
      <w:pPr>
        <w:pStyle w:val="Heading2"/>
        <w:spacing w:after="100" w:before="220"/>
      </w:pPr>
      <w:r>
        <w:rPr>
          <w:b/>
          <w:bCs/>
          <w:color w:val="0A8CAB"/>
          <w:sz w:val="25"/>
          <w:szCs w:val="25"/>
        </w:rPr>
        <w:t xml:space="preserve">5.2 Rights and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0B2233" w:val="clear"/>
            <w:tcMar>
              <w:top w:type="dxa" w:w="55"/>
              <w:left w:type="dxa" w:w="90"/>
              <w:bottom w:type="dxa" w:w="55"/>
              <w:right w:type="dxa" w:w="90"/>
            </w:tcMar>
          </w:tcPr>
          <w:p>
            <w:r>
              <w:rPr>
                <w:b/>
                <w:bCs/>
                <w:color w:val="FFFFFF"/>
                <w:sz w:val="18"/>
                <w:szCs w:val="18"/>
              </w:rPr>
              <w:t xml:space="preserve">Right</w:t>
            </w:r>
          </w:p>
        </w:tc>
        <w:tc>
          <w:tcPr>
            <w:tcW w:type="dxa" w:w="6726"/>
            <w:shd w:fill="0B2233" w:val="clear"/>
            <w:tcMar>
              <w:top w:type="dxa" w:w="55"/>
              <w:left w:type="dxa" w:w="90"/>
              <w:bottom w:type="dxa" w:w="55"/>
              <w:right w:type="dxa" w:w="90"/>
            </w:tcMar>
          </w:tcPr>
          <w:p>
            <w:r>
              <w:rPr>
                <w:b/>
                <w:bCs/>
                <w:color w:val="FFFFFF"/>
                <w:sz w:val="18"/>
                <w:szCs w:val="18"/>
              </w:rPr>
              <w:t xml:space="preserve">Implementation</w:t>
            </w:r>
          </w:p>
        </w:tc>
      </w:tr>
      <w:tr>
        <w:tc>
          <w:tcPr>
            <w:tcW w:type="dxa" w:w="2300"/>
            <w:tcMar>
              <w:top w:type="dxa" w:w="55"/>
              <w:left w:type="dxa" w:w="90"/>
              <w:bottom w:type="dxa" w:w="55"/>
              <w:right w:type="dxa" w:w="90"/>
            </w:tcMar>
          </w:tcPr>
          <w:p>
            <w:r>
              <w:rPr>
                <w:b w:val="false"/>
                <w:bCs w:val="false"/>
                <w:color w:val="000000"/>
                <w:sz w:val="18"/>
                <w:szCs w:val="18"/>
              </w:rPr>
              <w:t xml:space="preserve">Be informed</w:t>
            </w:r>
          </w:p>
        </w:tc>
        <w:tc>
          <w:tcPr>
            <w:tcW w:type="dxa" w:w="6726"/>
            <w:tcMar>
              <w:top w:type="dxa" w:w="55"/>
              <w:left w:type="dxa" w:w="90"/>
              <w:bottom w:type="dxa" w:w="55"/>
              <w:right w:type="dxa" w:w="90"/>
            </w:tcMar>
          </w:tcPr>
          <w:p>
            <w:r>
              <w:rPr>
                <w:b w:val="false"/>
                <w:bCs w:val="false"/>
                <w:color w:val="000000"/>
                <w:sz w:val="18"/>
                <w:szCs w:val="18"/>
              </w:rPr>
              <w:t xml:space="preserve">Plain-language privacy notice presented at onboarding, not buried in terms</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Consent and withdraw</w:t>
            </w:r>
          </w:p>
        </w:tc>
        <w:tc>
          <w:tcPr>
            <w:tcW w:type="dxa" w:w="6726"/>
            <w:shd w:fill="F4FAFC" w:val="clear"/>
            <w:tcMar>
              <w:top w:type="dxa" w:w="55"/>
              <w:left w:type="dxa" w:w="90"/>
              <w:bottom w:type="dxa" w:w="55"/>
              <w:right w:type="dxa" w:w="90"/>
            </w:tcMar>
          </w:tcPr>
          <w:p>
            <w:r>
              <w:rPr>
                <w:b w:val="false"/>
                <w:bCs w:val="false"/>
                <w:color w:val="000000"/>
                <w:sz w:val="18"/>
                <w:szCs w:val="18"/>
              </w:rPr>
              <w:t xml:space="preserve">Granular consent record; withdrawal disables the dependent feature rather than the account</w:t>
            </w:r>
          </w:p>
        </w:tc>
      </w:tr>
      <w:tr>
        <w:tc>
          <w:tcPr>
            <w:tcW w:type="dxa" w:w="2300"/>
            <w:tcMar>
              <w:top w:type="dxa" w:w="55"/>
              <w:left w:type="dxa" w:w="90"/>
              <w:bottom w:type="dxa" w:w="55"/>
              <w:right w:type="dxa" w:w="90"/>
            </w:tcMar>
          </w:tcPr>
          <w:p>
            <w:r>
              <w:rPr>
                <w:b w:val="false"/>
                <w:bCs w:val="false"/>
                <w:color w:val="000000"/>
                <w:sz w:val="18"/>
                <w:szCs w:val="18"/>
              </w:rPr>
              <w:t xml:space="preserve">Access and portability</w:t>
            </w:r>
          </w:p>
        </w:tc>
        <w:tc>
          <w:tcPr>
            <w:tcW w:type="dxa" w:w="6726"/>
            <w:tcMar>
              <w:top w:type="dxa" w:w="55"/>
              <w:left w:type="dxa" w:w="90"/>
              <w:bottom w:type="dxa" w:w="55"/>
              <w:right w:type="dxa" w:w="90"/>
            </w:tcMar>
          </w:tcPr>
          <w:p>
            <w:r>
              <w:rPr>
                <w:b w:val="false"/>
                <w:bCs w:val="false"/>
                <w:color w:val="000000"/>
                <w:sz w:val="18"/>
                <w:szCs w:val="18"/>
              </w:rPr>
              <w:t xml:space="preserve">Machine-readable export endpoint producing a downloadable archive</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Erasure</w:t>
            </w:r>
          </w:p>
        </w:tc>
        <w:tc>
          <w:tcPr>
            <w:tcW w:type="dxa" w:w="6726"/>
            <w:shd w:fill="F4FAFC" w:val="clear"/>
            <w:tcMar>
              <w:top w:type="dxa" w:w="55"/>
              <w:left w:type="dxa" w:w="90"/>
              <w:bottom w:type="dxa" w:w="55"/>
              <w:right w:type="dxa" w:w="90"/>
            </w:tcMar>
          </w:tcPr>
          <w:p>
            <w:r>
              <w:rPr>
                <w:b w:val="false"/>
                <w:bCs w:val="false"/>
                <w:color w:val="000000"/>
                <w:sz w:val="18"/>
                <w:szCs w:val="18"/>
              </w:rPr>
              <w:t xml:space="preserve">Account deletion erases or irreversibly anonymises all personal records within the published window</w:t>
            </w:r>
          </w:p>
        </w:tc>
      </w:tr>
      <w:tr>
        <w:tc>
          <w:tcPr>
            <w:tcW w:type="dxa" w:w="2300"/>
            <w:tcMar>
              <w:top w:type="dxa" w:w="55"/>
              <w:left w:type="dxa" w:w="90"/>
              <w:bottom w:type="dxa" w:w="55"/>
              <w:right w:type="dxa" w:w="90"/>
            </w:tcMar>
          </w:tcPr>
          <w:p>
            <w:r>
              <w:rPr>
                <w:b w:val="false"/>
                <w:bCs w:val="false"/>
                <w:color w:val="000000"/>
                <w:sz w:val="18"/>
                <w:szCs w:val="18"/>
              </w:rPr>
              <w:t xml:space="preserve">Correct</w:t>
            </w:r>
          </w:p>
        </w:tc>
        <w:tc>
          <w:tcPr>
            <w:tcW w:type="dxa" w:w="6726"/>
            <w:tcMar>
              <w:top w:type="dxa" w:w="55"/>
              <w:left w:type="dxa" w:w="90"/>
              <w:bottom w:type="dxa" w:w="55"/>
              <w:right w:type="dxa" w:w="90"/>
            </w:tcMar>
          </w:tcPr>
          <w:p>
            <w:r>
              <w:rPr>
                <w:b w:val="false"/>
                <w:bCs w:val="false"/>
                <w:color w:val="000000"/>
                <w:sz w:val="18"/>
                <w:szCs w:val="18"/>
              </w:rPr>
              <w:t xml:space="preserve">All profile and log data is user editable</w:t>
            </w:r>
          </w:p>
        </w:tc>
      </w:tr>
    </w:tbl>
    <w:p>
      <w:pPr>
        <w:pStyle w:val="Heading2"/>
        <w:spacing w:after="100" w:before="220"/>
      </w:pPr>
      <w:r>
        <w:rPr>
          <w:b/>
          <w:bCs/>
          <w:color w:val="0A8CAB"/>
          <w:sz w:val="25"/>
          <w:szCs w:val="25"/>
        </w:rPr>
        <w:t xml:space="preserve">5.3 Security controls supporting privacy</w:t>
      </w:r>
    </w:p>
    <w:p>
      <w:pPr>
        <w:pStyle w:val="ListParagraph"/>
        <w:numPr>
          <w:ilvl w:val="0"/>
          <w:numId w:val="2"/>
        </w:numPr>
        <w:spacing w:after="55"/>
      </w:pPr>
      <w:r>
        <w:rPr>
          <w:sz w:val="21"/>
          <w:szCs w:val="21"/>
        </w:rPr>
        <w:t xml:space="preserve">Encryption in transit and at rest across all stores.</w:t>
      </w:r>
    </w:p>
    <w:p>
      <w:pPr>
        <w:pStyle w:val="ListParagraph"/>
        <w:numPr>
          <w:ilvl w:val="0"/>
          <w:numId w:val="2"/>
        </w:numPr>
        <w:spacing w:after="55"/>
      </w:pPr>
      <w:r>
        <w:rPr>
          <w:sz w:val="21"/>
          <w:szCs w:val="21"/>
        </w:rPr>
        <w:t xml:space="preserve">Role-based access with least privilege; no team member holds standing production data access.</w:t>
      </w:r>
    </w:p>
    <w:p>
      <w:pPr>
        <w:pStyle w:val="ListParagraph"/>
        <w:numPr>
          <w:ilvl w:val="0"/>
          <w:numId w:val="2"/>
        </w:numPr>
        <w:spacing w:after="55"/>
      </w:pPr>
      <w:r>
        <w:rPr>
          <w:sz w:val="21"/>
          <w:szCs w:val="21"/>
        </w:rPr>
        <w:t xml:space="preserve">Audit logging of authentication and data access events, retained for the published security window and anonymised rather than erased on deletion, so that a security record survives while personal identity does not.</w:t>
      </w:r>
    </w:p>
    <w:p>
      <w:pPr>
        <w:pStyle w:val="ListParagraph"/>
        <w:numPr>
          <w:ilvl w:val="0"/>
          <w:numId w:val="2"/>
        </w:numPr>
        <w:spacing w:after="55"/>
      </w:pPr>
      <w:r>
        <w:rPr>
          <w:sz w:val="21"/>
          <w:szCs w:val="21"/>
        </w:rPr>
        <w:t xml:space="preserve">Secrets in a managed vault, retrieved at runtime by identity; any exposed key rotated the same day.</w:t>
      </w:r>
    </w:p>
    <w:p>
      <w:pPr>
        <w:pStyle w:val="ListParagraph"/>
        <w:numPr>
          <w:ilvl w:val="0"/>
          <w:numId w:val="2"/>
        </w:numPr>
        <w:spacing w:after="55"/>
      </w:pPr>
      <w:r>
        <w:rPr>
          <w:sz w:val="21"/>
          <w:szCs w:val="21"/>
        </w:rPr>
        <w:t xml:space="preserve">Breach response: freeze sessions, rotate secrets, assess scope from audit logs, notify affected users and the supervisor, document the timeline.</w:t>
      </w:r>
    </w:p>
    <w:p>
      <w:pPr>
        <w:pStyle w:val="Heading1"/>
        <w:pBdr>
          <w:bottom w:val="single" w:color="21C0DA" w:sz="6"/>
        </w:pBdr>
        <w:spacing w:after="140" w:before="300"/>
      </w:pPr>
      <w:r>
        <w:rPr>
          <w:b/>
          <w:bCs/>
          <w:color w:val="0B2233"/>
          <w:sz w:val="30"/>
          <w:szCs w:val="30"/>
        </w:rPr>
        <w:t xml:space="preserve">6. Ethical Commitments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0B2233" w:val="clear"/>
            <w:tcMar>
              <w:top w:type="dxa" w:w="55"/>
              <w:left w:type="dxa" w:w="90"/>
              <w:bottom w:type="dxa" w:w="55"/>
              <w:right w:type="dxa" w:w="90"/>
            </w:tcMar>
          </w:tcPr>
          <w:p>
            <w:r>
              <w:rPr>
                <w:b/>
                <w:bCs/>
                <w:color w:val="FFFFFF"/>
                <w:sz w:val="18"/>
                <w:szCs w:val="18"/>
              </w:rPr>
              <w:t xml:space="preserve">Commitment</w:t>
            </w:r>
          </w:p>
        </w:tc>
        <w:tc>
          <w:tcPr>
            <w:tcW w:type="dxa" w:w="6726"/>
            <w:shd w:fill="0B2233" w:val="clear"/>
            <w:tcMar>
              <w:top w:type="dxa" w:w="55"/>
              <w:left w:type="dxa" w:w="90"/>
              <w:bottom w:type="dxa" w:w="55"/>
              <w:right w:type="dxa" w:w="90"/>
            </w:tcMar>
          </w:tcPr>
          <w:p>
            <w:r>
              <w:rPr>
                <w:b/>
                <w:bCs/>
                <w:color w:val="FFFFFF"/>
                <w:sz w:val="18"/>
                <w:szCs w:val="18"/>
              </w:rPr>
              <w:t xml:space="preserve">How it shows up in the product</w:t>
            </w:r>
          </w:p>
        </w:tc>
      </w:tr>
      <w:tr>
        <w:tc>
          <w:tcPr>
            <w:tcW w:type="dxa" w:w="2300"/>
            <w:tcMar>
              <w:top w:type="dxa" w:w="55"/>
              <w:left w:type="dxa" w:w="90"/>
              <w:bottom w:type="dxa" w:w="55"/>
              <w:right w:type="dxa" w:w="90"/>
            </w:tcMar>
          </w:tcPr>
          <w:p>
            <w:r>
              <w:rPr>
                <w:b w:val="false"/>
                <w:bCs w:val="false"/>
                <w:color w:val="000000"/>
                <w:sz w:val="18"/>
                <w:szCs w:val="18"/>
              </w:rPr>
              <w:t xml:space="preserve">Weight-neutral, non-shaming language</w:t>
            </w:r>
          </w:p>
        </w:tc>
        <w:tc>
          <w:tcPr>
            <w:tcW w:type="dxa" w:w="6726"/>
            <w:tcMar>
              <w:top w:type="dxa" w:w="55"/>
              <w:left w:type="dxa" w:w="90"/>
              <w:bottom w:type="dxa" w:w="55"/>
              <w:right w:type="dxa" w:w="90"/>
            </w:tcMar>
          </w:tcPr>
          <w:p>
            <w:r>
              <w:rPr>
                <w:b w:val="false"/>
                <w:bCs w:val="false"/>
                <w:color w:val="000000"/>
                <w:sz w:val="18"/>
                <w:szCs w:val="18"/>
              </w:rPr>
              <w:t xml:space="preserve">Copy review checklist; no language framing a body or a food as bad; progress framed as behaviour, not worth</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No dark patterns</w:t>
            </w:r>
          </w:p>
        </w:tc>
        <w:tc>
          <w:tcPr>
            <w:tcW w:type="dxa" w:w="6726"/>
            <w:shd w:fill="F4FAFC" w:val="clear"/>
            <w:tcMar>
              <w:top w:type="dxa" w:w="55"/>
              <w:left w:type="dxa" w:w="90"/>
              <w:bottom w:type="dxa" w:w="55"/>
              <w:right w:type="dxa" w:w="90"/>
            </w:tcMar>
          </w:tcPr>
          <w:p>
            <w:r>
              <w:rPr>
                <w:b w:val="false"/>
                <w:bCs w:val="false"/>
                <w:color w:val="000000"/>
                <w:sz w:val="18"/>
                <w:szCs w:val="18"/>
              </w:rPr>
              <w:t xml:space="preserve">Streaks celebrate but never guilt; cancelling and deleting are as easy as signing up</w:t>
            </w:r>
          </w:p>
        </w:tc>
      </w:tr>
      <w:tr>
        <w:tc>
          <w:tcPr>
            <w:tcW w:type="dxa" w:w="2300"/>
            <w:tcMar>
              <w:top w:type="dxa" w:w="55"/>
              <w:left w:type="dxa" w:w="90"/>
              <w:bottom w:type="dxa" w:w="55"/>
              <w:right w:type="dxa" w:w="90"/>
            </w:tcMar>
          </w:tcPr>
          <w:p>
            <w:r>
              <w:rPr>
                <w:b w:val="false"/>
                <w:bCs w:val="false"/>
                <w:color w:val="000000"/>
                <w:sz w:val="18"/>
                <w:szCs w:val="18"/>
              </w:rPr>
              <w:t xml:space="preserve">Transparency about AI</w:t>
            </w:r>
          </w:p>
        </w:tc>
        <w:tc>
          <w:tcPr>
            <w:tcW w:type="dxa" w:w="6726"/>
            <w:tcMar>
              <w:top w:type="dxa" w:w="55"/>
              <w:left w:type="dxa" w:w="90"/>
              <w:bottom w:type="dxa" w:w="55"/>
              <w:right w:type="dxa" w:w="90"/>
            </w:tcMar>
          </w:tcPr>
          <w:p>
            <w:r>
              <w:rPr>
                <w:b w:val="false"/>
                <w:bCs w:val="false"/>
                <w:color w:val="000000"/>
                <w:sz w:val="18"/>
                <w:szCs w:val="18"/>
              </w:rPr>
              <w:t xml:space="preserve">AI-generated content is labelled; recognition confidence is shown; the user always confirms before data is committed</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Cultural inclusivity in food</w:t>
            </w:r>
          </w:p>
        </w:tc>
        <w:tc>
          <w:tcPr>
            <w:tcW w:type="dxa" w:w="6726"/>
            <w:shd w:fill="F4FAFC" w:val="clear"/>
            <w:tcMar>
              <w:top w:type="dxa" w:w="55"/>
              <w:left w:type="dxa" w:w="90"/>
              <w:bottom w:type="dxa" w:w="55"/>
              <w:right w:type="dxa" w:w="90"/>
            </w:tcMar>
          </w:tcPr>
          <w:p>
            <w:r>
              <w:rPr>
                <w:b w:val="false"/>
                <w:bCs w:val="false"/>
                <w:color w:val="000000"/>
                <w:sz w:val="18"/>
                <w:szCs w:val="18"/>
              </w:rPr>
              <w:t xml:space="preserve">Evaluation set spans multiple cuisines; a recommendation that only ever suggests one food culture is treated as a defect</w:t>
            </w:r>
          </w:p>
        </w:tc>
      </w:tr>
      <w:tr>
        <w:tc>
          <w:tcPr>
            <w:tcW w:type="dxa" w:w="2300"/>
            <w:tcMar>
              <w:top w:type="dxa" w:w="55"/>
              <w:left w:type="dxa" w:w="90"/>
              <w:bottom w:type="dxa" w:w="55"/>
              <w:right w:type="dxa" w:w="90"/>
            </w:tcMar>
          </w:tcPr>
          <w:p>
            <w:r>
              <w:rPr>
                <w:b w:val="false"/>
                <w:bCs w:val="false"/>
                <w:color w:val="000000"/>
                <w:sz w:val="18"/>
                <w:szCs w:val="18"/>
              </w:rPr>
              <w:t xml:space="preserve">Honest uncertainty</w:t>
            </w:r>
          </w:p>
        </w:tc>
        <w:tc>
          <w:tcPr>
            <w:tcW w:type="dxa" w:w="6726"/>
            <w:tcMar>
              <w:top w:type="dxa" w:w="55"/>
              <w:left w:type="dxa" w:w="90"/>
              <w:bottom w:type="dxa" w:w="55"/>
              <w:right w:type="dxa" w:w="90"/>
            </w:tcMar>
          </w:tcPr>
          <w:p>
            <w:r>
              <w:rPr>
                <w:b w:val="false"/>
                <w:bCs w:val="false"/>
                <w:color w:val="000000"/>
                <w:sz w:val="18"/>
                <w:szCs w:val="18"/>
              </w:rPr>
              <w:t xml:space="preserve">Low-confidence recognitions and crowd-sourced food records are visibly flagged rather than presented as fact</w:t>
            </w:r>
          </w:p>
        </w:tc>
      </w:tr>
      <w:tr>
        <w:tc>
          <w:tcPr>
            <w:tcW w:type="dxa" w:w="2300"/>
            <w:shd w:fill="F4FAFC" w:val="clear"/>
            <w:tcMar>
              <w:top w:type="dxa" w:w="55"/>
              <w:left w:type="dxa" w:w="90"/>
              <w:bottom w:type="dxa" w:w="55"/>
              <w:right w:type="dxa" w:w="90"/>
            </w:tcMar>
          </w:tcPr>
          <w:p>
            <w:r>
              <w:rPr>
                <w:b w:val="false"/>
                <w:bCs w:val="false"/>
                <w:color w:val="000000"/>
                <w:sz w:val="18"/>
                <w:szCs w:val="18"/>
              </w:rPr>
              <w:t xml:space="preserve">Human in the loop</w:t>
            </w:r>
          </w:p>
        </w:tc>
        <w:tc>
          <w:tcPr>
            <w:tcW w:type="dxa" w:w="6726"/>
            <w:shd w:fill="F4FAFC" w:val="clear"/>
            <w:tcMar>
              <w:top w:type="dxa" w:w="55"/>
              <w:left w:type="dxa" w:w="90"/>
              <w:bottom w:type="dxa" w:w="55"/>
              <w:right w:type="dxa" w:w="90"/>
            </w:tcMar>
          </w:tcPr>
          <w:p>
            <w:r>
              <w:rPr>
                <w:b w:val="false"/>
                <w:bCs w:val="false"/>
                <w:color w:val="000000"/>
                <w:sz w:val="18"/>
                <w:szCs w:val="18"/>
              </w:rPr>
              <w:t xml:space="preserve">No automatic commitment of AI-derived data; the user is the final authority on their own record</w:t>
            </w:r>
          </w:p>
        </w:tc>
      </w:tr>
    </w:tbl>
    <w:p>
      <w:pPr>
        <w:pStyle w:val="Heading1"/>
        <w:pBdr>
          <w:bottom w:val="single" w:color="21C0DA" w:sz="6"/>
        </w:pBdr>
        <w:spacing w:after="140" w:before="300"/>
      </w:pPr>
      <w:r>
        <w:rPr>
          <w:b/>
          <w:bCs/>
          <w:color w:val="0B2233"/>
          <w:sz w:val="30"/>
          <w:szCs w:val="30"/>
        </w:rPr>
        <w:t xml:space="preserve">7.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200"/>
        <w:gridCol w:w="3926"/>
      </w:tblGrid>
      <w:tr>
        <w:trPr>
          <w:tblHeader/>
        </w:trPr>
        <w:tc>
          <w:tcPr>
            <w:tcW w:type="dxa" w:w="2600"/>
            <w:shd w:fill="0B2233" w:val="clear"/>
            <w:tcMar>
              <w:top w:type="dxa" w:w="55"/>
              <w:left w:type="dxa" w:w="90"/>
              <w:bottom w:type="dxa" w:w="55"/>
              <w:right w:type="dxa" w:w="90"/>
            </w:tcMar>
          </w:tcPr>
          <w:p>
            <w:r>
              <w:rPr>
                <w:b/>
                <w:bCs/>
                <w:color w:val="FFFFFF"/>
                <w:sz w:val="18"/>
                <w:szCs w:val="18"/>
              </w:rPr>
              <w:t xml:space="preserve">Risk</w:t>
            </w:r>
          </w:p>
        </w:tc>
        <w:tc>
          <w:tcPr>
            <w:tcW w:type="dxa" w:w="1300"/>
            <w:shd w:fill="0B2233" w:val="clear"/>
            <w:tcMar>
              <w:top w:type="dxa" w:w="55"/>
              <w:left w:type="dxa" w:w="90"/>
              <w:bottom w:type="dxa" w:w="55"/>
              <w:right w:type="dxa" w:w="90"/>
            </w:tcMar>
          </w:tcPr>
          <w:p>
            <w:r>
              <w:rPr>
                <w:b/>
                <w:bCs/>
                <w:color w:val="FFFFFF"/>
                <w:sz w:val="18"/>
                <w:szCs w:val="18"/>
              </w:rPr>
              <w:t xml:space="preserve">Likelihood</w:t>
            </w:r>
          </w:p>
        </w:tc>
        <w:tc>
          <w:tcPr>
            <w:tcW w:type="dxa" w:w="1200"/>
            <w:shd w:fill="0B2233" w:val="clear"/>
            <w:tcMar>
              <w:top w:type="dxa" w:w="55"/>
              <w:left w:type="dxa" w:w="90"/>
              <w:bottom w:type="dxa" w:w="55"/>
              <w:right w:type="dxa" w:w="90"/>
            </w:tcMar>
          </w:tcPr>
          <w:p>
            <w:r>
              <w:rPr>
                <w:b/>
                <w:bCs/>
                <w:color w:val="FFFFFF"/>
                <w:sz w:val="18"/>
                <w:szCs w:val="18"/>
              </w:rPr>
              <w:t xml:space="preserve">Impact</w:t>
            </w:r>
          </w:p>
        </w:tc>
        <w:tc>
          <w:tcPr>
            <w:tcW w:type="dxa" w:w="3926"/>
            <w:shd w:fill="0B2233" w:val="clear"/>
            <w:tcMar>
              <w:top w:type="dxa" w:w="55"/>
              <w:left w:type="dxa" w:w="90"/>
              <w:bottom w:type="dxa" w:w="55"/>
              <w:right w:type="dxa" w:w="90"/>
            </w:tcMar>
          </w:tcPr>
          <w:p>
            <w:r>
              <w:rPr>
                <w:b/>
                <w:bCs/>
                <w:color w:val="FFFFFF"/>
                <w:sz w:val="18"/>
                <w:szCs w:val="18"/>
              </w:rPr>
              <w:t xml:space="preserve">Mitigation</w:t>
            </w:r>
          </w:p>
        </w:tc>
      </w:tr>
      <w:tr>
        <w:tc>
          <w:tcPr>
            <w:tcW w:type="dxa" w:w="2600"/>
            <w:tcMar>
              <w:top w:type="dxa" w:w="55"/>
              <w:left w:type="dxa" w:w="90"/>
              <w:bottom w:type="dxa" w:w="55"/>
              <w:right w:type="dxa" w:w="90"/>
            </w:tcMar>
          </w:tcPr>
          <w:p>
            <w:r>
              <w:rPr>
                <w:b w:val="false"/>
                <w:bCs w:val="false"/>
                <w:color w:val="000000"/>
                <w:sz w:val="18"/>
                <w:szCs w:val="18"/>
              </w:rPr>
              <w:t xml:space="preserve">User acts on an unsafe generated target</w:t>
            </w:r>
          </w:p>
        </w:tc>
        <w:tc>
          <w:tcPr>
            <w:tcW w:type="dxa" w:w="1300"/>
            <w:tcMar>
              <w:top w:type="dxa" w:w="55"/>
              <w:left w:type="dxa" w:w="90"/>
              <w:bottom w:type="dxa" w:w="55"/>
              <w:right w:type="dxa" w:w="90"/>
            </w:tcMar>
          </w:tcPr>
          <w:p>
            <w:r>
              <w:rPr>
                <w:b w:val="false"/>
                <w:bCs w:val="false"/>
                <w:color w:val="000000"/>
                <w:sz w:val="18"/>
                <w:szCs w:val="18"/>
              </w:rPr>
              <w:t xml:space="preserve">Low</w:t>
            </w:r>
          </w:p>
        </w:tc>
        <w:tc>
          <w:tcPr>
            <w:tcW w:type="dxa" w:w="1200"/>
            <w:tcMar>
              <w:top w:type="dxa" w:w="55"/>
              <w:left w:type="dxa" w:w="90"/>
              <w:bottom w:type="dxa" w:w="55"/>
              <w:right w:type="dxa" w:w="90"/>
            </w:tcMar>
          </w:tcPr>
          <w:p>
            <w:r>
              <w:rPr>
                <w:b w:val="false"/>
                <w:bCs w:val="false"/>
                <w:color w:val="000000"/>
                <w:sz w:val="18"/>
                <w:szCs w:val="18"/>
              </w:rPr>
              <w:t xml:space="preserve">Severe</w:t>
            </w:r>
          </w:p>
        </w:tc>
        <w:tc>
          <w:tcPr>
            <w:tcW w:type="dxa" w:w="3926"/>
            <w:tcMar>
              <w:top w:type="dxa" w:w="55"/>
              <w:left w:type="dxa" w:w="90"/>
              <w:bottom w:type="dxa" w:w="55"/>
              <w:right w:type="dxa" w:w="90"/>
            </w:tcMar>
          </w:tcPr>
          <w:p>
            <w:r>
              <w:rPr>
                <w:b w:val="false"/>
                <w:bCs w:val="false"/>
                <w:color w:val="000000"/>
                <w:sz w:val="18"/>
                <w:szCs w:val="18"/>
              </w:rPr>
              <w:t xml:space="preserve">Deterministic clamp, advisory flag, professional signposting, tested to full coverage</w:t>
            </w:r>
          </w:p>
        </w:tc>
      </w:tr>
      <w:tr>
        <w:tc>
          <w:tcPr>
            <w:tcW w:type="dxa" w:w="2600"/>
            <w:shd w:fill="F4FAFC" w:val="clear"/>
            <w:tcMar>
              <w:top w:type="dxa" w:w="55"/>
              <w:left w:type="dxa" w:w="90"/>
              <w:bottom w:type="dxa" w:w="55"/>
              <w:right w:type="dxa" w:w="90"/>
            </w:tcMar>
          </w:tcPr>
          <w:p>
            <w:r>
              <w:rPr>
                <w:b w:val="false"/>
                <w:bCs w:val="false"/>
                <w:color w:val="000000"/>
                <w:sz w:val="18"/>
                <w:szCs w:val="18"/>
              </w:rPr>
              <w:t xml:space="preserve">Assistant answers a medical question</w:t>
            </w:r>
          </w:p>
        </w:tc>
        <w:tc>
          <w:tcPr>
            <w:tcW w:type="dxa" w:w="1300"/>
            <w:shd w:fill="F4FAFC" w:val="clear"/>
            <w:tcMar>
              <w:top w:type="dxa" w:w="55"/>
              <w:left w:type="dxa" w:w="90"/>
              <w:bottom w:type="dxa" w:w="55"/>
              <w:right w:type="dxa" w:w="90"/>
            </w:tcMar>
          </w:tcPr>
          <w:p>
            <w:r>
              <w:rPr>
                <w:b w:val="false"/>
                <w:bCs w:val="false"/>
                <w:color w:val="000000"/>
                <w:sz w:val="18"/>
                <w:szCs w:val="18"/>
              </w:rPr>
              <w:t xml:space="preserve">Medium</w:t>
            </w:r>
          </w:p>
        </w:tc>
        <w:tc>
          <w:tcPr>
            <w:tcW w:type="dxa" w:w="1200"/>
            <w:shd w:fill="F4FAFC" w:val="clear"/>
            <w:tcMar>
              <w:top w:type="dxa" w:w="55"/>
              <w:left w:type="dxa" w:w="90"/>
              <w:bottom w:type="dxa" w:w="55"/>
              <w:right w:type="dxa" w:w="90"/>
            </w:tcMar>
          </w:tcPr>
          <w:p>
            <w:r>
              <w:rPr>
                <w:b w:val="false"/>
                <w:bCs w:val="false"/>
                <w:color w:val="000000"/>
                <w:sz w:val="18"/>
                <w:szCs w:val="18"/>
              </w:rPr>
              <w:t xml:space="preserve">Severe</w:t>
            </w:r>
          </w:p>
        </w:tc>
        <w:tc>
          <w:tcPr>
            <w:tcW w:type="dxa" w:w="3926"/>
            <w:shd w:fill="F4FAFC" w:val="clear"/>
            <w:tcMar>
              <w:top w:type="dxa" w:w="55"/>
              <w:left w:type="dxa" w:w="90"/>
              <w:bottom w:type="dxa" w:w="55"/>
              <w:right w:type="dxa" w:w="90"/>
            </w:tcMar>
          </w:tcPr>
          <w:p>
            <w:r>
              <w:rPr>
                <w:b w:val="false"/>
                <w:bCs w:val="false"/>
                <w:color w:val="000000"/>
                <w:sz w:val="18"/>
                <w:szCs w:val="18"/>
              </w:rPr>
              <w:t xml:space="preserve">Input classifier, scoped prompt, output filter, adversarial evaluation as a merge gate</w:t>
            </w:r>
          </w:p>
        </w:tc>
      </w:tr>
      <w:tr>
        <w:tc>
          <w:tcPr>
            <w:tcW w:type="dxa" w:w="2600"/>
            <w:tcMar>
              <w:top w:type="dxa" w:w="55"/>
              <w:left w:type="dxa" w:w="90"/>
              <w:bottom w:type="dxa" w:w="55"/>
              <w:right w:type="dxa" w:w="90"/>
            </w:tcMar>
          </w:tcPr>
          <w:p>
            <w:r>
              <w:rPr>
                <w:b w:val="false"/>
                <w:bCs w:val="false"/>
                <w:color w:val="000000"/>
                <w:sz w:val="18"/>
                <w:szCs w:val="18"/>
              </w:rPr>
              <w:t xml:space="preserve">Allergen appears in a suggestion</w:t>
            </w:r>
          </w:p>
        </w:tc>
        <w:tc>
          <w:tcPr>
            <w:tcW w:type="dxa" w:w="1300"/>
            <w:tcMar>
              <w:top w:type="dxa" w:w="55"/>
              <w:left w:type="dxa" w:w="90"/>
              <w:bottom w:type="dxa" w:w="55"/>
              <w:right w:type="dxa" w:w="90"/>
            </w:tcMar>
          </w:tcPr>
          <w:p>
            <w:r>
              <w:rPr>
                <w:b w:val="false"/>
                <w:bCs w:val="false"/>
                <w:color w:val="000000"/>
                <w:sz w:val="18"/>
                <w:szCs w:val="18"/>
              </w:rPr>
              <w:t xml:space="preserve">Low</w:t>
            </w:r>
          </w:p>
        </w:tc>
        <w:tc>
          <w:tcPr>
            <w:tcW w:type="dxa" w:w="1200"/>
            <w:tcMar>
              <w:top w:type="dxa" w:w="55"/>
              <w:left w:type="dxa" w:w="90"/>
              <w:bottom w:type="dxa" w:w="55"/>
              <w:right w:type="dxa" w:w="90"/>
            </w:tcMar>
          </w:tcPr>
          <w:p>
            <w:r>
              <w:rPr>
                <w:b w:val="false"/>
                <w:bCs w:val="false"/>
                <w:color w:val="000000"/>
                <w:sz w:val="18"/>
                <w:szCs w:val="18"/>
              </w:rPr>
              <w:t xml:space="preserve">Severe</w:t>
            </w:r>
          </w:p>
        </w:tc>
        <w:tc>
          <w:tcPr>
            <w:tcW w:type="dxa" w:w="3926"/>
            <w:tcMar>
              <w:top w:type="dxa" w:w="55"/>
              <w:left w:type="dxa" w:w="90"/>
              <w:bottom w:type="dxa" w:w="55"/>
              <w:right w:type="dxa" w:w="90"/>
            </w:tcMar>
          </w:tcPr>
          <w:p>
            <w:r>
              <w:rPr>
                <w:b w:val="false"/>
                <w:bCs w:val="false"/>
                <w:color w:val="000000"/>
                <w:sz w:val="18"/>
                <w:szCs w:val="18"/>
              </w:rPr>
              <w:t xml:space="preserve">Deterministic filtering in code, never delegated to the model</w:t>
            </w:r>
          </w:p>
        </w:tc>
      </w:tr>
      <w:tr>
        <w:tc>
          <w:tcPr>
            <w:tcW w:type="dxa" w:w="2600"/>
            <w:shd w:fill="F4FAFC" w:val="clear"/>
            <w:tcMar>
              <w:top w:type="dxa" w:w="55"/>
              <w:left w:type="dxa" w:w="90"/>
              <w:bottom w:type="dxa" w:w="55"/>
              <w:right w:type="dxa" w:w="90"/>
            </w:tcMar>
          </w:tcPr>
          <w:p>
            <w:r>
              <w:rPr>
                <w:b w:val="false"/>
                <w:bCs w:val="false"/>
                <w:color w:val="000000"/>
                <w:sz w:val="18"/>
                <w:szCs w:val="18"/>
              </w:rPr>
              <w:t xml:space="preserve">Sensitive data exposure</w:t>
            </w:r>
          </w:p>
        </w:tc>
        <w:tc>
          <w:tcPr>
            <w:tcW w:type="dxa" w:w="1300"/>
            <w:shd w:fill="F4FAFC" w:val="clear"/>
            <w:tcMar>
              <w:top w:type="dxa" w:w="55"/>
              <w:left w:type="dxa" w:w="90"/>
              <w:bottom w:type="dxa" w:w="55"/>
              <w:right w:type="dxa" w:w="90"/>
            </w:tcMar>
          </w:tcPr>
          <w:p>
            <w:r>
              <w:rPr>
                <w:b w:val="false"/>
                <w:bCs w:val="false"/>
                <w:color w:val="000000"/>
                <w:sz w:val="18"/>
                <w:szCs w:val="18"/>
              </w:rPr>
              <w:t xml:space="preserve">Low</w:t>
            </w:r>
          </w:p>
        </w:tc>
        <w:tc>
          <w:tcPr>
            <w:tcW w:type="dxa" w:w="1200"/>
            <w:shd w:fill="F4FAFC" w:val="clear"/>
            <w:tcMar>
              <w:top w:type="dxa" w:w="55"/>
              <w:left w:type="dxa" w:w="90"/>
              <w:bottom w:type="dxa" w:w="55"/>
              <w:right w:type="dxa" w:w="90"/>
            </w:tcMar>
          </w:tcPr>
          <w:p>
            <w:r>
              <w:rPr>
                <w:b w:val="false"/>
                <w:bCs w:val="false"/>
                <w:color w:val="000000"/>
                <w:sz w:val="18"/>
                <w:szCs w:val="18"/>
              </w:rPr>
              <w:t xml:space="preserve">Severe</w:t>
            </w:r>
          </w:p>
        </w:tc>
        <w:tc>
          <w:tcPr>
            <w:tcW w:type="dxa" w:w="3926"/>
            <w:shd w:fill="F4FAFC" w:val="clear"/>
            <w:tcMar>
              <w:top w:type="dxa" w:w="55"/>
              <w:left w:type="dxa" w:w="90"/>
              <w:bottom w:type="dxa" w:w="55"/>
              <w:right w:type="dxa" w:w="90"/>
            </w:tcMar>
          </w:tcPr>
          <w:p>
            <w:r>
              <w:rPr>
                <w:b w:val="false"/>
                <w:bCs w:val="false"/>
                <w:color w:val="000000"/>
                <w:sz w:val="18"/>
                <w:szCs w:val="18"/>
              </w:rPr>
              <w:t xml:space="preserve">Vault-managed secrets, least privilege, audit logging, breach runbook</w:t>
            </w:r>
          </w:p>
        </w:tc>
      </w:tr>
      <w:tr>
        <w:tc>
          <w:tcPr>
            <w:tcW w:type="dxa" w:w="2600"/>
            <w:tcMar>
              <w:top w:type="dxa" w:w="55"/>
              <w:left w:type="dxa" w:w="90"/>
              <w:bottom w:type="dxa" w:w="55"/>
              <w:right w:type="dxa" w:w="90"/>
            </w:tcMar>
          </w:tcPr>
          <w:p>
            <w:r>
              <w:rPr>
                <w:b w:val="false"/>
                <w:bCs w:val="false"/>
                <w:color w:val="000000"/>
                <w:sz w:val="18"/>
                <w:szCs w:val="18"/>
              </w:rPr>
              <w:t xml:space="preserve">Recognition error produces wrong nutrition data</w:t>
            </w:r>
          </w:p>
        </w:tc>
        <w:tc>
          <w:tcPr>
            <w:tcW w:type="dxa" w:w="1300"/>
            <w:tcMar>
              <w:top w:type="dxa" w:w="55"/>
              <w:left w:type="dxa" w:w="90"/>
              <w:bottom w:type="dxa" w:w="55"/>
              <w:right w:type="dxa" w:w="90"/>
            </w:tcMar>
          </w:tcPr>
          <w:p>
            <w:r>
              <w:rPr>
                <w:b w:val="false"/>
                <w:bCs w:val="false"/>
                <w:color w:val="000000"/>
                <w:sz w:val="18"/>
                <w:szCs w:val="18"/>
              </w:rPr>
              <w:t xml:space="preserve">High</w:t>
            </w:r>
          </w:p>
        </w:tc>
        <w:tc>
          <w:tcPr>
            <w:tcW w:type="dxa" w:w="1200"/>
            <w:tcMar>
              <w:top w:type="dxa" w:w="55"/>
              <w:left w:type="dxa" w:w="90"/>
              <w:bottom w:type="dxa" w:w="55"/>
              <w:right w:type="dxa" w:w="90"/>
            </w:tcMar>
          </w:tcPr>
          <w:p>
            <w:r>
              <w:rPr>
                <w:b w:val="false"/>
                <w:bCs w:val="false"/>
                <w:color w:val="000000"/>
                <w:sz w:val="18"/>
                <w:szCs w:val="18"/>
              </w:rPr>
              <w:t xml:space="preserve">Low</w:t>
            </w:r>
          </w:p>
        </w:tc>
        <w:tc>
          <w:tcPr>
            <w:tcW w:type="dxa" w:w="3926"/>
            <w:tcMar>
              <w:top w:type="dxa" w:w="55"/>
              <w:left w:type="dxa" w:w="90"/>
              <w:bottom w:type="dxa" w:w="55"/>
              <w:right w:type="dxa" w:w="90"/>
            </w:tcMar>
          </w:tcPr>
          <w:p>
            <w:r>
              <w:rPr>
                <w:b w:val="false"/>
                <w:bCs w:val="false"/>
                <w:color w:val="000000"/>
                <w:sz w:val="18"/>
                <w:szCs w:val="18"/>
              </w:rPr>
              <w:t xml:space="preserve">Mandatory user confirmation; confidence displayed; corrections feed evaluation</w:t>
            </w:r>
          </w:p>
        </w:tc>
      </w:tr>
      <w:tr>
        <w:tc>
          <w:tcPr>
            <w:tcW w:type="dxa" w:w="2600"/>
            <w:shd w:fill="F4FAFC" w:val="clear"/>
            <w:tcMar>
              <w:top w:type="dxa" w:w="55"/>
              <w:left w:type="dxa" w:w="90"/>
              <w:bottom w:type="dxa" w:w="55"/>
              <w:right w:type="dxa" w:w="90"/>
            </w:tcMar>
          </w:tcPr>
          <w:p>
            <w:r>
              <w:rPr>
                <w:b w:val="false"/>
                <w:bCs w:val="false"/>
                <w:color w:val="000000"/>
                <w:sz w:val="18"/>
                <w:szCs w:val="18"/>
              </w:rPr>
              <w:t xml:space="preserve">User in crisis receives a wellness answer</w:t>
            </w:r>
          </w:p>
        </w:tc>
        <w:tc>
          <w:tcPr>
            <w:tcW w:type="dxa" w:w="1300"/>
            <w:shd w:fill="F4FAFC" w:val="clear"/>
            <w:tcMar>
              <w:top w:type="dxa" w:w="55"/>
              <w:left w:type="dxa" w:w="90"/>
              <w:bottom w:type="dxa" w:w="55"/>
              <w:right w:type="dxa" w:w="90"/>
            </w:tcMar>
          </w:tcPr>
          <w:p>
            <w:r>
              <w:rPr>
                <w:b w:val="false"/>
                <w:bCs w:val="false"/>
                <w:color w:val="000000"/>
                <w:sz w:val="18"/>
                <w:szCs w:val="18"/>
              </w:rPr>
              <w:t xml:space="preserve">Low</w:t>
            </w:r>
          </w:p>
        </w:tc>
        <w:tc>
          <w:tcPr>
            <w:tcW w:type="dxa" w:w="1200"/>
            <w:shd w:fill="F4FAFC" w:val="clear"/>
            <w:tcMar>
              <w:top w:type="dxa" w:w="55"/>
              <w:left w:type="dxa" w:w="90"/>
              <w:bottom w:type="dxa" w:w="55"/>
              <w:right w:type="dxa" w:w="90"/>
            </w:tcMar>
          </w:tcPr>
          <w:p>
            <w:r>
              <w:rPr>
                <w:b w:val="false"/>
                <w:bCs w:val="false"/>
                <w:color w:val="000000"/>
                <w:sz w:val="18"/>
                <w:szCs w:val="18"/>
              </w:rPr>
              <w:t xml:space="preserve">Severe</w:t>
            </w:r>
          </w:p>
        </w:tc>
        <w:tc>
          <w:tcPr>
            <w:tcW w:type="dxa" w:w="3926"/>
            <w:shd w:fill="F4FAFC" w:val="clear"/>
            <w:tcMar>
              <w:top w:type="dxa" w:w="55"/>
              <w:left w:type="dxa" w:w="90"/>
              <w:bottom w:type="dxa" w:w="55"/>
              <w:right w:type="dxa" w:w="90"/>
            </w:tcMar>
          </w:tcPr>
          <w:p>
            <w:r>
              <w:rPr>
                <w:b w:val="false"/>
                <w:bCs w:val="false"/>
                <w:color w:val="000000"/>
                <w:sz w:val="18"/>
                <w:szCs w:val="18"/>
              </w:rPr>
              <w:t xml:space="preserve">Crisis classifier ahead of the wellness flow; support contacts; no method content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672"/>
        <w:sz w:val="15"/>
        <w:szCs w:val="15"/>
      </w:rPr>
      <w:t xml:space="preserve">AquaZeroFit  |  AquaZero  |  NIT3003 Group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abstractNum w:abstractNumId="3" w15:restartNumberingAfterBreak="0">
    <w:multiLevelType w:val="hybridMultilevel"/>
    <w:lvl w:ilvl="0" w15:tentative="1">
      <w:start w:val="1"/>
      <w:numFmt w:val="decimal"/>
      <w:lvlText w:val="%1."/>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32369395cfd7c02229296103a36accede67334.png"/><Relationship Id="rId10" Type="http://schemas.openxmlformats.org/officeDocument/2006/relationships/image" Target="media/23728fcbeeef5596bd8c77599e120475df8ec8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2026-07-29T03:21:19.179Z</dcterms:created>
  <dcterms:modified xsi:type="dcterms:W3CDTF">2026-07-29T03:21:19.199Z</dcterms:modified>
</cp:coreProperties>
</file>

<file path=docProps/custom.xml><?xml version="1.0" encoding="utf-8"?>
<Properties xmlns="http://schemas.openxmlformats.org/officeDocument/2006/custom-properties" xmlns:vt="http://schemas.openxmlformats.org/officeDocument/2006/docPropsVTypes"/>
</file>